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framePr w:wrap="around"/>
        <w:rPr>
          <w:rFonts w:hint="eastAsia" w:hAnsi="黑体"/>
        </w:rPr>
      </w:pPr>
      <w:r>
        <w:rPr>
          <w:rFonts w:hAnsi="黑体"/>
        </w:rPr>
        <w:t>ICS </w:t>
      </w:r>
      <w:bookmarkStart w:id="0" w:name="ICS"/>
      <w:r>
        <w:rPr>
          <w:rFonts w:hint="eastAsia" w:hAnsi="黑体"/>
        </w:rPr>
        <w:fldChar w:fldCharType="begin">
          <w:ffData>
            <w:name w:val="ICS"/>
            <w:enabled/>
            <w:calcOnExit w:val="0"/>
            <w:helpText w:type="text" w:val="请输入正确的ICS号："/>
            <w:textInput>
              <w:default w:val="91.140.90"/>
            </w:textInput>
          </w:ffData>
        </w:fldChar>
      </w:r>
      <w:r>
        <w:rPr>
          <w:rFonts w:hint="eastAsia" w:hAnsi="黑体"/>
        </w:rPr>
        <w:instrText xml:space="preserve">FORMTEXT</w:instrText>
      </w:r>
      <w:r>
        <w:rPr>
          <w:rFonts w:hint="eastAsia" w:hAnsi="黑体"/>
        </w:rPr>
        <w:fldChar w:fldCharType="separate"/>
      </w:r>
      <w:r>
        <w:rPr>
          <w:rFonts w:hint="eastAsia" w:hAnsi="黑体"/>
        </w:rPr>
        <w:t>91.140.90</w:t>
      </w:r>
      <w:r>
        <w:rPr>
          <w:rFonts w:hint="eastAsia" w:hAnsi="黑体"/>
        </w:rPr>
        <w:fldChar w:fldCharType="end"/>
      </w:r>
      <w:bookmarkEnd w:id="0"/>
    </w:p>
    <w:p>
      <w:pPr>
        <w:pStyle w:val="120"/>
        <w:framePr w:wrap="around"/>
        <w:rPr>
          <w:rFonts w:hint="eastAsia" w:hAnsi="黑体"/>
        </w:rPr>
      </w:pPr>
      <w:bookmarkStart w:id="1" w:name="WXFLH"/>
      <w:r>
        <w:rPr>
          <w:rFonts w:hAnsi="黑体"/>
        </w:rPr>
        <w:fldChar w:fldCharType="begin">
          <w:ffData>
            <w:name w:val="WXFLH"/>
            <w:enabled/>
            <w:calcOnExit w:val="0"/>
            <w:helpText w:type="text" w:val="请输入中国标准文献分类号："/>
            <w:textInput>
              <w:default w:val="CCS"/>
            </w:textInput>
          </w:ffData>
        </w:fldChar>
      </w:r>
      <w:r>
        <w:rPr>
          <w:rFonts w:hAnsi="黑体"/>
        </w:rPr>
        <w:instrText xml:space="preserve"> FORMTEXT </w:instrText>
      </w:r>
      <w:r>
        <w:rPr>
          <w:rFonts w:hAnsi="黑体"/>
        </w:rPr>
        <w:fldChar w:fldCharType="separate"/>
      </w:r>
      <w:r>
        <w:rPr>
          <w:rFonts w:hAnsi="黑体"/>
        </w:rPr>
        <w:t>CCS</w:t>
      </w:r>
      <w:r>
        <w:rPr>
          <w:rFonts w:hAnsi="黑体"/>
        </w:rPr>
        <w:fldChar w:fldCharType="end"/>
      </w:r>
      <w:bookmarkEnd w:id="1"/>
      <w:r>
        <w:rPr>
          <w:rFonts w:hint="eastAsia" w:hAnsi="黑体"/>
        </w:rPr>
        <w:t xml:space="preserve"> </w:t>
      </w:r>
      <w:bookmarkStart w:id="2" w:name="BAH"/>
      <w:r>
        <w:rPr>
          <w:rFonts w:hint="eastAsia" w:hAnsi="黑体"/>
        </w:rPr>
        <w:fldChar w:fldCharType="begin">
          <w:ffData>
            <w:name w:val="BAH"/>
            <w:enabled/>
            <w:calcOnExit w:val="0"/>
            <w:textInput>
              <w:default w:val="Q78"/>
            </w:textInput>
          </w:ffData>
        </w:fldChar>
      </w:r>
      <w:r>
        <w:rPr>
          <w:rFonts w:hint="eastAsia" w:hAnsi="黑体"/>
        </w:rPr>
        <w:instrText xml:space="preserve">FORMTEXT</w:instrText>
      </w:r>
      <w:r>
        <w:rPr>
          <w:rFonts w:hint="eastAsia" w:hAnsi="黑体"/>
        </w:rPr>
        <w:fldChar w:fldCharType="separate"/>
      </w:r>
      <w:r>
        <w:rPr>
          <w:rFonts w:hint="eastAsia" w:hAnsi="黑体"/>
        </w:rPr>
        <w:t>Q78</w:t>
      </w:r>
      <w:r>
        <w:rPr>
          <w:rFonts w:hint="eastAsia" w:hAnsi="黑体"/>
        </w:rPr>
        <w:fldChar w:fldCharType="end"/>
      </w:r>
      <w:bookmarkEnd w:id="2"/>
      <w:r>
        <w:rPr>
          <w:rFonts w:hint="eastAsia" w:hAnsi="黑体"/>
        </w:rPr>
        <w:t xml:space="preserve">  </w:t>
      </w:r>
    </w:p>
    <w:tbl>
      <w:tblPr>
        <w:tblStyle w:val="31"/>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shd w:val="clear" w:color="auto" w:fill="auto"/>
          </w:tcPr>
          <w:p>
            <w:pPr>
              <w:pStyle w:val="120"/>
              <w:framePr w:wrap="around"/>
              <w:rPr>
                <w:rFonts w:hint="eastAsia" w:hAnsi="黑体"/>
              </w:rPr>
            </w:pPr>
          </w:p>
        </w:tc>
      </w:tr>
    </w:tbl>
    <w:p>
      <w:pPr>
        <w:pStyle w:val="106"/>
        <w:framePr w:wrap="around"/>
      </w:pPr>
      <w:r>
        <w:t>D</w:t>
      </w:r>
      <w:r>
        <w:rPr>
          <w:spacing w:val="100"/>
        </w:rPr>
        <w:t>B</w:t>
      </w:r>
    </w:p>
    <w:p>
      <w:pPr>
        <w:pStyle w:val="107"/>
        <w:framePr w:wrap="around"/>
        <w:rPr>
          <w:rFonts w:hint="eastAsia"/>
        </w:rPr>
      </w:pPr>
      <w:r>
        <w:rPr>
          <w:rFonts w:hint="eastAsia"/>
        </w:rPr>
        <w:t>川渝区域</w:t>
      </w:r>
      <w:r>
        <w:t>地方标准</w:t>
      </w:r>
    </w:p>
    <w:p>
      <w:pPr>
        <w:pStyle w:val="44"/>
        <w:framePr w:wrap="around"/>
        <w:rPr>
          <w:rFonts w:hint="eastAsia" w:hAnsi="黑体"/>
        </w:rPr>
      </w:pPr>
      <w:r>
        <w:rPr>
          <w:rFonts w:hAnsi="黑体"/>
        </w:rPr>
        <w:t xml:space="preserve">DB/T </w:t>
      </w:r>
      <w:r>
        <w:rPr>
          <w:rFonts w:hAnsi="黑体"/>
        </w:rPr>
        <w:fldChar w:fldCharType="begin">
          <w:ffData>
            <w:name w:val="StdNo1"/>
            <w:enabled/>
            <w:calcOnExit w:val="0"/>
            <w:textInput>
              <w:default w:val="××××"/>
            </w:textInput>
          </w:ffData>
        </w:fldChar>
      </w:r>
      <w:bookmarkStart w:id="3"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3"/>
      <w:r>
        <w:rPr>
          <w:rFonts w:hAnsi="黑体"/>
        </w:rPr>
        <w:t>—</w:t>
      </w:r>
      <w:r>
        <w:rPr>
          <w:rFonts w:hAnsi="黑体"/>
        </w:rPr>
        <w:fldChar w:fldCharType="begin">
          <w:ffData>
            <w:name w:val="StdNo2"/>
            <w:enabled/>
            <w:calcOnExit w:val="0"/>
            <w:textInput>
              <w:default w:val="××××"/>
              <w:maxLength w:val="4"/>
            </w:textInput>
          </w:ffData>
        </w:fldChar>
      </w:r>
      <w:bookmarkStart w:id="4"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4"/>
    </w:p>
    <w:tbl>
      <w:tblPr>
        <w:tblStyle w:val="31"/>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73"/>
              <w:framePr w:wrap="around"/>
              <w:rPr>
                <w:rFonts w:hint="eastAsia" w:ascii="黑体" w:hAnsi="黑体" w:eastAsia="黑体"/>
              </w:rPr>
            </w:pPr>
            <w:r>
              <w:rPr>
                <w:rFonts w:ascii="黑体" w:hAnsi="黑体" w:eastAsia="黑体"/>
              </w:rPr>
              <mc:AlternateContent>
                <mc:Choice Requires="wps">
                  <w:drawing>
                    <wp:anchor distT="0" distB="0" distL="114300" distR="114300" simplePos="0" relativeHeight="251664384"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6"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a:noFill/>
                              </a:ln>
                            </wps:spPr>
                            <wps:bodyPr anchor="ctr" upright="1"/>
                          </wps:wsp>
                        </a:graphicData>
                      </a:graphic>
                    </wp:anchor>
                  </w:drawing>
                </mc:Choice>
                <mc:Fallback>
                  <w:pict>
                    <v:rect id="DT" o:spid="_x0000_s1026" o:spt="1" style="position:absolute;left:0pt;margin-left:367.4pt;margin-top:2.7pt;height:18pt;width:90pt;z-index:-251652096;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We5P/TAAAA&#10;CAEAAA8AAAAAAAAAAQAgAAAAIgAAAGRycy9kb3ducmV2LnhtbFBLAQIUABQAAAAIAIdO4kB/Ktj8&#10;sAEAAHADAAAOAAAAAAAAAAEAIAAAACIBAABkcnMvZTJvRG9jLnhtbFBLBQYAAAAABgAGAFkBAABE&#10;BQAAAAA=&#10;">
                      <v:fill on="t" focussize="0,0"/>
                      <v:stroke on="f" weight="2pt"/>
                      <v:imagedata o:title=""/>
                      <o:lock v:ext="edit" aspectratio="f"/>
                    </v:rect>
                  </w:pict>
                </mc:Fallback>
              </mc:AlternateContent>
            </w:r>
            <w:r>
              <w:rPr>
                <w:rFonts w:ascii="黑体" w:hAnsi="黑体" w:eastAsia="黑体"/>
              </w:rPr>
              <w:fldChar w:fldCharType="begin">
                <w:ffData>
                  <w:name w:val="DT"/>
                  <w:enabled/>
                  <w:calcOnExit w:val="0"/>
                  <w:entryMacro w:val="ShowHelp4"/>
                  <w:textInput/>
                </w:ffData>
              </w:fldChar>
            </w:r>
            <w:bookmarkStart w:id="5" w:name="DT"/>
            <w:r>
              <w:rPr>
                <w:rFonts w:ascii="黑体" w:hAnsi="黑体" w:eastAsia="黑体"/>
              </w:rPr>
              <w:instrText xml:space="preserve"> FORMTEXT </w:instrText>
            </w:r>
            <w:r>
              <w:rPr>
                <w:rFonts w:ascii="黑体" w:hAnsi="黑体" w:eastAsia="黑体"/>
              </w:rPr>
              <w:fldChar w:fldCharType="separate"/>
            </w:r>
            <w:r>
              <w:rPr>
                <w:rFonts w:ascii="黑体" w:hAnsi="黑体" w:eastAsia="黑体"/>
              </w:rPr>
              <w:t>     </w:t>
            </w:r>
            <w:r>
              <w:rPr>
                <w:rFonts w:ascii="黑体" w:hAnsi="黑体" w:eastAsia="黑体"/>
              </w:rPr>
              <w:fldChar w:fldCharType="end"/>
            </w:r>
            <w:bookmarkEnd w:id="5"/>
          </w:p>
        </w:tc>
      </w:tr>
    </w:tbl>
    <w:p>
      <w:pPr>
        <w:pStyle w:val="44"/>
        <w:framePr w:wrap="around"/>
        <w:rPr>
          <w:rFonts w:hint="eastAsia" w:hAnsi="黑体"/>
        </w:rPr>
      </w:pPr>
    </w:p>
    <w:p>
      <w:pPr>
        <w:pStyle w:val="44"/>
        <w:framePr w:wrap="around"/>
        <w:rPr>
          <w:rFonts w:hint="eastAsia" w:hAnsi="黑体"/>
        </w:rPr>
      </w:pPr>
    </w:p>
    <w:p>
      <w:pPr>
        <w:pStyle w:val="75"/>
        <w:framePr w:wrap="around"/>
      </w:pPr>
      <w:bookmarkStart w:id="6" w:name="StdName"/>
      <w:r>
        <w:rPr>
          <w:rFonts w:hint="eastAsia"/>
        </w:rPr>
        <w:fldChar w:fldCharType="begin">
          <w:ffData>
            <w:name w:val="StdName"/>
            <w:enabled/>
            <w:calcOnExit w:val="0"/>
            <w:textInput>
              <w:default w:val="川渝地区电梯突发事件应急处置规范"/>
            </w:textInput>
          </w:ffData>
        </w:fldChar>
      </w:r>
      <w:r>
        <w:rPr>
          <w:rFonts w:hint="eastAsia"/>
        </w:rPr>
        <w:instrText xml:space="preserve">FORMTEXT</w:instrText>
      </w:r>
      <w:r>
        <w:rPr>
          <w:rFonts w:hint="eastAsia"/>
        </w:rPr>
        <w:fldChar w:fldCharType="separate"/>
      </w:r>
      <w:r>
        <w:rPr>
          <w:rFonts w:hint="eastAsia"/>
        </w:rPr>
        <w:t>川渝地区电梯突发事件应急处置规范</w:t>
      </w:r>
      <w:r>
        <w:rPr>
          <w:rFonts w:hint="eastAsia"/>
        </w:rPr>
        <w:fldChar w:fldCharType="end"/>
      </w:r>
      <w:bookmarkEnd w:id="6"/>
    </w:p>
    <w:p>
      <w:pPr>
        <w:pStyle w:val="76"/>
        <w:framePr w:wrap="around"/>
        <w:rPr>
          <w:rFonts w:hint="eastAsia" w:ascii="黑体" w:hAnsi="黑体"/>
        </w:rPr>
      </w:pPr>
      <w:bookmarkStart w:id="7" w:name="StdEnglishName"/>
      <w:r>
        <w:rPr>
          <w:rFonts w:hint="eastAsia" w:ascii="黑体" w:hAnsi="黑体"/>
        </w:rPr>
        <w:fldChar w:fldCharType="begin">
          <w:ffData>
            <w:name w:val="StdEnglishName"/>
            <w:enabled/>
            <w:calcOnExit w:val="0"/>
            <w:textInput>
              <w:default w:val="Regulations for emergency handling of elevator emergencies in Sichuan and Chongqing"/>
            </w:textInput>
          </w:ffData>
        </w:fldChar>
      </w:r>
      <w:r>
        <w:rPr>
          <w:rFonts w:hint="eastAsia" w:ascii="黑体" w:hAnsi="黑体"/>
        </w:rPr>
        <w:instrText xml:space="preserve">FORMTEXT</w:instrText>
      </w:r>
      <w:r>
        <w:rPr>
          <w:rFonts w:hint="eastAsia" w:ascii="黑体" w:hAnsi="黑体"/>
        </w:rPr>
        <w:fldChar w:fldCharType="separate"/>
      </w:r>
      <w:r>
        <w:rPr>
          <w:rFonts w:hint="eastAsia" w:ascii="黑体" w:hAnsi="黑体"/>
        </w:rPr>
        <w:t>Regulations for emergency handling of elevator emergencies in Sichuan and Chongqing</w:t>
      </w:r>
      <w:r>
        <w:rPr>
          <w:rFonts w:hint="eastAsia" w:ascii="黑体" w:hAnsi="黑体"/>
        </w:rPr>
        <w:fldChar w:fldCharType="end"/>
      </w:r>
      <w:bookmarkEnd w:id="7"/>
    </w:p>
    <w:p>
      <w:pPr>
        <w:pStyle w:val="77"/>
        <w:framePr w:wrap="around"/>
        <w:rPr>
          <w:rFonts w:hint="eastAsia" w:ascii="黑体" w:hAnsi="黑体" w:eastAsia="黑体"/>
        </w:rPr>
      </w:pPr>
      <w:bookmarkStart w:id="8" w:name="YZBS"/>
      <w:r>
        <w:rPr>
          <w:rFonts w:hint="eastAsia" w:ascii="黑体" w:hAnsi="黑体" w:eastAsia="黑体"/>
        </w:rPr>
        <w:fldChar w:fldCharType="begin">
          <w:ffData>
            <w:name w:val="YZBS"/>
            <w:enabled/>
            <w:calcOnExit w:val="0"/>
            <w:textInput/>
          </w:ffData>
        </w:fldChar>
      </w:r>
      <w:r>
        <w:rPr>
          <w:rFonts w:hint="eastAsia" w:ascii="黑体" w:hAnsi="黑体" w:eastAsia="黑体"/>
        </w:rPr>
        <w:instrText xml:space="preserve">FORMTEXT</w:instrText>
      </w:r>
      <w:r>
        <w:rPr>
          <w:rFonts w:hint="eastAsia" w:ascii="黑体" w:hAnsi="黑体" w:eastAsia="黑体"/>
        </w:rPr>
        <w:fldChar w:fldCharType="separate"/>
      </w:r>
      <w:r>
        <w:rPr>
          <w:rFonts w:ascii="黑体" w:hAnsi="黑体" w:eastAsia="黑体"/>
        </w:rPr>
        <w:t>     </w:t>
      </w:r>
      <w:r>
        <w:rPr>
          <w:rFonts w:hint="eastAsia" w:ascii="黑体" w:hAnsi="黑体" w:eastAsia="黑体"/>
        </w:rPr>
        <w:fldChar w:fldCharType="end"/>
      </w:r>
      <w:bookmarkEnd w:id="8"/>
    </w:p>
    <w:tbl>
      <w:tblPr>
        <w:tblStyle w:val="31"/>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78"/>
              <w:framePr w:wrap="around"/>
            </w:pPr>
            <w:r>
              <mc:AlternateContent>
                <mc:Choice Requires="wps">
                  <w:drawing>
                    <wp:anchor distT="0" distB="0" distL="114300" distR="114300" simplePos="0" relativeHeight="251666432" behindDoc="1" locked="1" layoutInCell="1" allowOverlap="1">
                      <wp:simplePos x="0" y="0"/>
                      <wp:positionH relativeFrom="column">
                        <wp:posOffset>2132330</wp:posOffset>
                      </wp:positionH>
                      <wp:positionV relativeFrom="paragraph">
                        <wp:posOffset>573405</wp:posOffset>
                      </wp:positionV>
                      <wp:extent cx="1905000" cy="254000"/>
                      <wp:effectExtent l="0" t="0" r="0" b="12700"/>
                      <wp:wrapNone/>
                      <wp:docPr id="8"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a:noFill/>
                              </a:ln>
                            </wps:spPr>
                            <wps:bodyPr anchor="ctr" upright="1"/>
                          </wps:wsp>
                        </a:graphicData>
                      </a:graphic>
                    </wp:anchor>
                  </w:drawing>
                </mc:Choice>
                <mc:Fallback>
                  <w:pict>
                    <v:rect id="RQ" o:spid="_x0000_s1026" o:spt="1" style="position:absolute;left:0pt;margin-left:167.9pt;margin-top:45.15pt;height:20pt;width:150pt;z-index:-251650048;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Iojhd0wAAAAoBAAAP&#10;AAAAAAAAAAEAIAAAACIAAABkcnMvZG93bnJldi54bWxQSwECFAAUAAAACACHTuJAzwB/qasBAABw&#10;AwAADgAAAAAAAAABACAAAAAiAQAAZHJzL2Uyb0RvYy54bWxQSwUGAAAAAAYABgBZAQAAPwU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7"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a:noFill/>
                              </a:ln>
                            </wps:spPr>
                            <wps:bodyPr anchor="ctr" upright="1"/>
                          </wps:wsp>
                        </a:graphicData>
                      </a:graphic>
                    </wp:anchor>
                  </w:drawing>
                </mc:Choice>
                <mc:Fallback>
                  <w:pict>
                    <v:rect id="LB" o:spid="_x0000_s1026" o:spt="1" style="position:absolute;left:0pt;margin-left:187.9pt;margin-top:20.15pt;height:24pt;width:100pt;z-index:-251651072;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NIEcv1AAA&#10;AAkBAAAPAAAAAAAAAAEAIAAAACIAAABkcnMvZG93bnJldi54bWxQSwECFAAUAAAACACHTuJAezOT&#10;E7ABAABwAwAADgAAAAAAAAABACAAAAAjAQAAZHJzL2Uyb0RvYy54bWxQSwUGAAAAAAYABgBZAQAA&#10;RQUAAAAA&#10;">
                      <v:fill on="t" focussize="0,0"/>
                      <v:stroke on="f" weight="2pt"/>
                      <v:imagedata o:title=""/>
                      <o:lock v:ext="edit" aspectratio="f"/>
                    </v:rect>
                  </w:pict>
                </mc:Fallback>
              </mc:AlternateContent>
            </w:r>
            <w:bookmarkStart w:id="164" w:name="_GoBack"/>
            <w:bookmarkEnd w:id="164"/>
            <w:bookmarkStart w:id="9" w:name="LB"/>
            <w:r>
              <w:rPr>
                <w:rFonts w:ascii="宋体" w:hAnsi="Times New Roman" w:eastAsia="宋体" w:cs="Times New Roman"/>
                <w:sz w:val="24"/>
                <w:szCs w:val="28"/>
                <w:lang w:val="en-US" w:eastAsia="zh-CN" w:bidi="ar-SA"/>
              </w:rPr>
              <w:fldChar w:fldCharType="begin">
                <w:ffData>
                  <w:name w:val="LB"/>
                  <w:enabled/>
                  <w:calcOnExit w:val="0"/>
                  <w:ddList>
                    <w:listEntry w:val="（征求意见稿）"/>
                    <w:listEntry w:val="（送审稿）"/>
                    <w:listEntry w:val="文稿版次选择"/>
                    <w:listEntry w:val="（工作组讨论稿）"/>
                    <w:listEntry w:val="（送审讨论稿）"/>
                    <w:listEntry w:val="（报批稿）"/>
                  </w:ddList>
                </w:ffData>
              </w:fldChar>
            </w:r>
            <w:r>
              <w:rPr>
                <w:rFonts w:ascii="宋体" w:hAnsi="Times New Roman" w:eastAsia="宋体" w:cs="Times New Roman"/>
                <w:sz w:val="24"/>
                <w:szCs w:val="28"/>
                <w:lang w:val="en-US" w:eastAsia="zh-CN" w:bidi="ar-SA"/>
              </w:rPr>
              <w:instrText xml:space="preserve">FORMDROPDOWN</w:instrText>
            </w:r>
            <w:r>
              <w:rPr>
                <w:rFonts w:ascii="宋体" w:hAnsi="Times New Roman" w:eastAsia="宋体" w:cs="Times New Roman"/>
                <w:sz w:val="24"/>
                <w:szCs w:val="28"/>
                <w:lang w:val="en-US" w:eastAsia="zh-CN" w:bidi="ar-SA"/>
              </w:rPr>
              <w:fldChar w:fldCharType="separate"/>
            </w:r>
            <w:r>
              <w:rPr>
                <w:rFonts w:ascii="宋体" w:hAnsi="Times New Roman" w:eastAsia="宋体" w:cs="Times New Roman"/>
                <w:sz w:val="24"/>
                <w:szCs w:val="28"/>
                <w:lang w:val="en-US" w:eastAsia="zh-CN" w:bidi="ar-SA"/>
              </w:rPr>
              <w:fldChar w:fldCharType="end"/>
            </w:r>
            <w:bookmarkEnd w:id="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79"/>
              <w:framePr w:wrap="around"/>
            </w:pPr>
            <w:r>
              <w:fldChar w:fldCharType="begin">
                <w:ffData>
                  <w:name w:val="WCRQ"/>
                  <w:enabled/>
                  <w:calcOnExit w:val="0"/>
                  <w:textInput/>
                </w:ffData>
              </w:fldChar>
            </w:r>
            <w:bookmarkStart w:id="10" w:name="WCRQ"/>
            <w:r>
              <w:instrText xml:space="preserve"> FORMTEXT </w:instrText>
            </w:r>
            <w:r>
              <w:fldChar w:fldCharType="separate"/>
            </w:r>
            <w:r>
              <w:t>     </w:t>
            </w:r>
            <w:r>
              <w:fldChar w:fldCharType="end"/>
            </w:r>
            <w:bookmarkEnd w:id="10"/>
          </w:p>
        </w:tc>
      </w:tr>
    </w:tbl>
    <w:p>
      <w:pPr>
        <w:pStyle w:val="127"/>
        <w:framePr w:wrap="around"/>
        <w:rPr>
          <w:rFonts w:hint="eastAsia" w:ascii="黑体" w:hAnsi="黑体"/>
        </w:rPr>
      </w:pPr>
      <w:r>
        <w:rPr>
          <w:rFonts w:ascii="黑体" w:hAnsi="黑体"/>
        </w:rPr>
        <w:fldChar w:fldCharType="begin">
          <w:ffData>
            <w:name w:val="FY"/>
            <w:enabled/>
            <w:calcOnExit w:val="0"/>
            <w:entryMacro w:val="ShowHelp8"/>
            <w:textInput>
              <w:default w:val="××××"/>
              <w:maxLength w:val="4"/>
            </w:textInput>
          </w:ffData>
        </w:fldChar>
      </w:r>
      <w:bookmarkStart w:id="11"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1"/>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2"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hint="eastAsia" w:ascii="黑体" w:hAnsi="黑体"/>
        </w:rPr>
        <w:t>发布</w:t>
      </w:r>
      <w:r>
        <w:rPr>
          <w:rFonts w:ascii="黑体" w:hAnsi="黑体"/>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B4l/XAAAACQEAAA8AAAAA&#10;AAAAAQAgAAAAIgAAAGRycy9kb3ducmV2LnhtbFBLAQIUABQAAAAIAIdO4kAfbM0A3AEAAKgDAAAO&#10;AAAAAAAAAAEAIAAAACYBAABkcnMvZTJvRG9jLnhtbFBLBQYAAAAABgAGAFkBAAB0BQAAAAA=&#10;">
                <v:fill on="f" focussize="0,0"/>
                <v:stroke color="#000000 [3204]" joinstyle="round"/>
                <v:imagedata o:title=""/>
                <o:lock v:ext="edit" aspectratio="f"/>
              </v:line>
            </w:pict>
          </mc:Fallback>
        </mc:AlternateContent>
      </w:r>
      <w:r>
        <w:rPr>
          <w:rFonts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8891905</wp:posOffset>
                </wp:positionV>
                <wp:extent cx="612013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0.05pt;margin-top:700.15pt;height:0pt;width:481.9pt;z-index:251660288;mso-width-relative:page;mso-height-relative:page;" filled="f" stroked="t" coordsize="21600,21600" o:gfxdata="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8W589YAAAALAQAADwAAAAAA&#10;AAABACAAAAAiAAAAZHJzL2Rvd25yZXYueG1sUEsBAhQAFAAAAAgAh07iQI2pjCTcAQAAqAMAAA4A&#10;AAAAAAAAAQAgAAAAJQEAAGRycy9lMm9Eb2MueG1sUEsFBgAAAAAGAAYAWQEAAHMFAAAAAA==&#10;">
                <v:fill on="f" focussize="0,0"/>
                <v:stroke color="#000000 [3204]" joinstyle="round"/>
                <v:imagedata o:title=""/>
                <o:lock v:ext="edit" aspectratio="f"/>
              </v:line>
            </w:pict>
          </mc:Fallback>
        </mc:AlternateContent>
      </w:r>
    </w:p>
    <w:p>
      <w:pPr>
        <w:pStyle w:val="128"/>
        <w:framePr w:wrap="around"/>
        <w:rPr>
          <w:rFonts w:hint="eastAsia" w:ascii="黑体" w:hAnsi="黑体"/>
        </w:rPr>
      </w:pPr>
      <w:r>
        <w:rPr>
          <w:rFonts w:ascii="黑体" w:hAnsi="黑体"/>
        </w:rPr>
        <w:fldChar w:fldCharType="begin">
          <w:ffData>
            <w:name w:val="SY"/>
            <w:enabled/>
            <w:calcOnExit w:val="0"/>
            <w:entryMacro w:val="ShowHelp9"/>
            <w:textInput>
              <w:default w:val="××××"/>
              <w:maxLength w:val="4"/>
            </w:textInput>
          </w:ffData>
        </w:fldChar>
      </w:r>
      <w:bookmarkStart w:id="13"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4"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5"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hint="eastAsia" w:ascii="黑体" w:hAnsi="黑体"/>
        </w:rPr>
        <w:t>实施</w:t>
      </w:r>
    </w:p>
    <w:p>
      <w:pPr>
        <w:pStyle w:val="108"/>
        <w:framePr w:wrap="around"/>
      </w:pPr>
      <w:r>
        <w:rPr>
          <w:rFonts w:hAnsi="黑体"/>
        </w:rPr>
        <w:fldChar w:fldCharType="begin">
          <w:ffData>
            <w:name w:val="FY"/>
            <w:enabled/>
            <w:calcOnExit w:val="0"/>
            <w:entryMacro w:val="ShowHelp8"/>
            <w:textInput>
              <w:default w:val="××××"/>
              <w:maxLength w:val="4"/>
            </w:textInput>
          </w:ffData>
        </w:fldChar>
      </w:r>
      <w:r>
        <w:rPr>
          <w:rFonts w:hAnsi="黑体"/>
        </w:rPr>
        <w:instrText xml:space="preserve"> FORMTEXT </w:instrText>
      </w:r>
      <w:r>
        <w:rPr>
          <w:rFonts w:hAnsi="黑体"/>
        </w:rPr>
        <w:fldChar w:fldCharType="separate"/>
      </w:r>
      <w:r>
        <w:rPr>
          <w:rFonts w:hAnsi="黑体"/>
        </w:rPr>
        <w:t>××××</w:t>
      </w:r>
      <w:r>
        <w:rPr>
          <w:rFonts w:hAnsi="黑体"/>
        </w:rPr>
        <w:fldChar w:fldCharType="end"/>
      </w:r>
      <w:r>
        <w:t xml:space="preserve"> </w:t>
      </w:r>
      <w:r>
        <w:rPr>
          <w:rStyle w:val="70"/>
        </w:rPr>
        <w:t xml:space="preserve"> </w:t>
      </w:r>
      <w:r>
        <w:rPr>
          <w:rStyle w:val="70"/>
          <w:rFonts w:hint="eastAsia"/>
        </w:rPr>
        <w:t>发布</w:t>
      </w:r>
    </w:p>
    <w:p>
      <w:pPr>
        <w:pStyle w:val="22"/>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7456"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9"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a:noFill/>
                        </a:ln>
                      </wps:spPr>
                      <wps:bodyPr anchor="ctr" upright="1"/>
                    </wps:wsp>
                  </a:graphicData>
                </a:graphic>
              </wp:anchor>
            </w:drawing>
          </mc:Choice>
          <mc:Fallback>
            <w:pict>
              <v:rect id="BAH" o:spid="_x0000_s1026" o:spt="1" style="position:absolute;left:0pt;margin-left:-5.25pt;margin-top:31.2pt;height:15.6pt;width:68.25pt;z-index:-251649024;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abbHNUAAAAJAQAADwAAAAAAAAABACAAAAAiAAAAZHJzL2Rvd25yZXYueG1sUEsBAhQAFAAAAAgA&#10;h07iQEE2ZrO2AQAAcAMAAA4AAAAAAAAAAQAgAAAAJAEAAGRycy9lMm9Eb2MueG1sUEsFBgAAAAAG&#10;AAYAWQEAAEwFAAAAAA==&#10;">
                <v:fill on="t" focussize="0,0"/>
                <v:stroke on="f" weight="2pt"/>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B4l/XAAAACQEAAA8AAAAA&#10;AAAAAQAgAAAAIgAAAGRycy9kb3ducmV2LnhtbFBLAQIUABQAAAAIAIdO4kBTWrSE3AEAAKgDAAAO&#10;AAAAAAAAAAEAIAAAACYBAABkcnMvZTJvRG9jLnhtbFBLBQYAAAAABgAGAFkBAAB0BQ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8891905</wp:posOffset>
                </wp:positionV>
                <wp:extent cx="612013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o:spt="20" style="position:absolute;left:0pt;margin-left:-0.05pt;margin-top:700.15pt;height:0pt;width:481.9pt;z-index:251662336;mso-width-relative:page;mso-height-relative:page;" filled="f" stroked="t" coordsize="21600,21600" o:gfxdata="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8W589YAAAALAQAADwAAAAAA&#10;AAABACAAAAAiAAAAZHJzL2Rvd25yZXYueG1sUEsBAhQAFAAAAAgAh07iQCH5XpTcAQAAqAMAAA4A&#10;AAAAAAAAAQAgAAAAJQEAAGRycy9lMm9Eb2MueG1sUEsFBgAAAAAGAAYAWQEAAHMFAAAAAA==&#10;">
                <v:fill on="f" focussize="0,0"/>
                <v:stroke color="#000000 [3204]" joinstyle="round"/>
                <v:imagedata o:title=""/>
                <o:lock v:ext="edit" aspectratio="f"/>
              </v:line>
            </w:pict>
          </mc:Fallback>
        </mc:AlternateContent>
      </w:r>
    </w:p>
    <w:p>
      <w:pPr>
        <w:pStyle w:val="47"/>
      </w:pPr>
      <w:r>
        <w:rPr>
          <w:rFonts w:hint="eastAsia"/>
        </w:rPr>
        <w:t>目</w:t>
      </w:r>
      <w:bookmarkStart w:id="16" w:name="BKML"/>
      <w:r>
        <w:rPr>
          <w:rFonts w:hAnsi="黑体"/>
        </w:rPr>
        <w:t>  </w:t>
      </w:r>
      <w:r>
        <w:rPr>
          <w:rFonts w:hint="eastAsia"/>
        </w:rPr>
        <w:t>次</w:t>
      </w:r>
      <w:bookmarkEnd w:id="16"/>
    </w:p>
    <w:p>
      <w:pPr>
        <w:pStyle w:val="18"/>
        <w:tabs>
          <w:tab w:val="right" w:leader="dot" w:pos="9355"/>
          <w:tab w:val="clear" w:pos="9241"/>
        </w:tabs>
        <w:spacing w:before="78" w:after="78"/>
      </w:pPr>
      <w:r>
        <w:fldChar w:fldCharType="begin"/>
      </w:r>
      <w:r>
        <w:instrText xml:space="preserve"> TOC \h \z \t"前言、引言标题,1,参考文献、索引标题,1,章标题,1,参考文献,1,附录标识,1,一级条标题, 3,二级条标题, 4" \* MERGEFORMAT </w:instrText>
      </w:r>
      <w:r>
        <w:fldChar w:fldCharType="separate"/>
      </w:r>
      <w:r>
        <w:fldChar w:fldCharType="begin"/>
      </w:r>
      <w:r>
        <w:instrText xml:space="preserve"> HYPERLINK \l "_Toc8002" </w:instrText>
      </w:r>
      <w:r>
        <w:fldChar w:fldCharType="separate"/>
      </w:r>
      <w:r>
        <w:rPr>
          <w:rFonts w:hint="eastAsia"/>
        </w:rPr>
        <w:t>前</w:t>
      </w:r>
      <w:r>
        <w:rPr>
          <w:rFonts w:hAnsi="黑体"/>
        </w:rPr>
        <w:t>  </w:t>
      </w:r>
      <w:r>
        <w:rPr>
          <w:rFonts w:hint="eastAsia"/>
        </w:rPr>
        <w:t>言</w:t>
      </w:r>
      <w:r>
        <w:tab/>
      </w:r>
      <w:r>
        <w:fldChar w:fldCharType="begin"/>
      </w:r>
      <w:r>
        <w:instrText xml:space="preserve"> PAGEREF _Toc8002 \h </w:instrText>
      </w:r>
      <w:r>
        <w:fldChar w:fldCharType="separate"/>
      </w:r>
      <w:r>
        <w:t>II</w:t>
      </w:r>
      <w:r>
        <w:fldChar w:fldCharType="end"/>
      </w:r>
      <w:r>
        <w:fldChar w:fldCharType="end"/>
      </w:r>
    </w:p>
    <w:p>
      <w:pPr>
        <w:pStyle w:val="18"/>
        <w:tabs>
          <w:tab w:val="right" w:leader="dot" w:pos="9355"/>
          <w:tab w:val="clear" w:pos="9241"/>
        </w:tabs>
        <w:spacing w:before="78" w:after="78"/>
      </w:pPr>
      <w:r>
        <w:fldChar w:fldCharType="begin"/>
      </w:r>
      <w:r>
        <w:instrText xml:space="preserve"> HYPERLINK \l "_Toc30687" </w:instrText>
      </w:r>
      <w:r>
        <w:fldChar w:fldCharType="separate"/>
      </w:r>
      <w:r>
        <w:rPr>
          <w:rFonts w:hint="eastAsia" w:ascii="黑体" w:eastAsia="黑体"/>
        </w:rPr>
        <w:t xml:space="preserve">1 </w:t>
      </w:r>
      <w:r>
        <w:rPr>
          <w:rFonts w:hint="eastAsia"/>
        </w:rPr>
        <w:t>范围</w:t>
      </w:r>
      <w:r>
        <w:tab/>
      </w:r>
      <w:r>
        <w:fldChar w:fldCharType="begin"/>
      </w:r>
      <w:r>
        <w:instrText xml:space="preserve"> PAGEREF _Toc30687 \h </w:instrText>
      </w:r>
      <w:r>
        <w:fldChar w:fldCharType="separate"/>
      </w:r>
      <w:r>
        <w:t>3</w:t>
      </w:r>
      <w:r>
        <w:fldChar w:fldCharType="end"/>
      </w:r>
      <w:r>
        <w:fldChar w:fldCharType="end"/>
      </w:r>
    </w:p>
    <w:p>
      <w:pPr>
        <w:pStyle w:val="18"/>
        <w:tabs>
          <w:tab w:val="right" w:leader="dot" w:pos="9355"/>
          <w:tab w:val="clear" w:pos="9241"/>
        </w:tabs>
        <w:spacing w:before="78" w:after="78"/>
      </w:pPr>
      <w:r>
        <w:fldChar w:fldCharType="begin"/>
      </w:r>
      <w:r>
        <w:instrText xml:space="preserve"> HYPERLINK \l "_Toc22650"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_Toc22650 \h </w:instrText>
      </w:r>
      <w:r>
        <w:fldChar w:fldCharType="separate"/>
      </w:r>
      <w:r>
        <w:t>3</w:t>
      </w:r>
      <w:r>
        <w:fldChar w:fldCharType="end"/>
      </w:r>
      <w:r>
        <w:fldChar w:fldCharType="end"/>
      </w:r>
    </w:p>
    <w:p>
      <w:pPr>
        <w:pStyle w:val="18"/>
        <w:tabs>
          <w:tab w:val="right" w:leader="dot" w:pos="9355"/>
          <w:tab w:val="clear" w:pos="9241"/>
        </w:tabs>
        <w:spacing w:before="78" w:after="78"/>
      </w:pPr>
      <w:r>
        <w:fldChar w:fldCharType="begin"/>
      </w:r>
      <w:r>
        <w:instrText xml:space="preserve"> HYPERLINK \l "_Toc22915" </w:instrText>
      </w:r>
      <w:r>
        <w:fldChar w:fldCharType="separate"/>
      </w:r>
      <w:r>
        <w:rPr>
          <w:rFonts w:hint="eastAsia" w:ascii="黑体" w:eastAsia="黑体"/>
        </w:rPr>
        <w:t xml:space="preserve">3 </w:t>
      </w:r>
      <w:r>
        <w:rPr>
          <w:rFonts w:hint="eastAsia"/>
        </w:rPr>
        <w:t>术语</w:t>
      </w:r>
      <w:r>
        <w:t>和定义</w:t>
      </w:r>
      <w:r>
        <w:tab/>
      </w:r>
      <w:r>
        <w:fldChar w:fldCharType="begin"/>
      </w:r>
      <w:r>
        <w:instrText xml:space="preserve"> PAGEREF _Toc22915 \h </w:instrText>
      </w:r>
      <w:r>
        <w:fldChar w:fldCharType="separate"/>
      </w:r>
      <w:r>
        <w:t>3</w:t>
      </w:r>
      <w:r>
        <w:fldChar w:fldCharType="end"/>
      </w:r>
      <w:r>
        <w:fldChar w:fldCharType="end"/>
      </w:r>
    </w:p>
    <w:p>
      <w:pPr>
        <w:pStyle w:val="18"/>
        <w:tabs>
          <w:tab w:val="right" w:leader="dot" w:pos="9355"/>
          <w:tab w:val="clear" w:pos="9241"/>
        </w:tabs>
        <w:spacing w:before="78" w:after="78"/>
      </w:pPr>
      <w:r>
        <w:fldChar w:fldCharType="begin"/>
      </w:r>
      <w:r>
        <w:instrText xml:space="preserve"> HYPERLINK \l "_Toc5293" </w:instrText>
      </w:r>
      <w:r>
        <w:fldChar w:fldCharType="separate"/>
      </w:r>
      <w:r>
        <w:rPr>
          <w:rFonts w:hint="eastAsia" w:ascii="黑体" w:eastAsia="黑体"/>
        </w:rPr>
        <w:t xml:space="preserve">4 </w:t>
      </w:r>
      <w:r>
        <w:rPr>
          <w:rFonts w:hint="eastAsia"/>
        </w:rPr>
        <w:t>基本要求</w:t>
      </w:r>
      <w:r>
        <w:tab/>
      </w:r>
      <w:r>
        <w:fldChar w:fldCharType="begin"/>
      </w:r>
      <w:r>
        <w:instrText xml:space="preserve"> PAGEREF _Toc5293 \h </w:instrText>
      </w:r>
      <w:r>
        <w:fldChar w:fldCharType="separate"/>
      </w:r>
      <w:r>
        <w:t>4</w:t>
      </w:r>
      <w:r>
        <w:fldChar w:fldCharType="end"/>
      </w:r>
      <w:r>
        <w:fldChar w:fldCharType="end"/>
      </w:r>
    </w:p>
    <w:p>
      <w:pPr>
        <w:pStyle w:val="18"/>
        <w:tabs>
          <w:tab w:val="right" w:leader="dot" w:pos="9355"/>
          <w:tab w:val="clear" w:pos="9241"/>
        </w:tabs>
        <w:spacing w:before="78" w:after="78"/>
      </w:pPr>
      <w:r>
        <w:fldChar w:fldCharType="begin"/>
      </w:r>
      <w:r>
        <w:instrText xml:space="preserve"> HYPERLINK \l "_Toc6714" </w:instrText>
      </w:r>
      <w:r>
        <w:fldChar w:fldCharType="separate"/>
      </w:r>
      <w:r>
        <w:rPr>
          <w:rFonts w:hint="eastAsia" w:ascii="黑体" w:eastAsia="黑体"/>
        </w:rPr>
        <w:t xml:space="preserve">5 </w:t>
      </w:r>
      <w:r>
        <w:rPr>
          <w:rFonts w:hint="eastAsia"/>
        </w:rPr>
        <w:t>电梯突发事件类型</w:t>
      </w:r>
      <w:r>
        <w:tab/>
      </w:r>
      <w:r>
        <w:fldChar w:fldCharType="begin"/>
      </w:r>
      <w:r>
        <w:instrText xml:space="preserve"> PAGEREF _Toc6714 \h </w:instrText>
      </w:r>
      <w:r>
        <w:fldChar w:fldCharType="separate"/>
      </w:r>
      <w:r>
        <w:t>5</w:t>
      </w:r>
      <w:r>
        <w:fldChar w:fldCharType="end"/>
      </w:r>
      <w:r>
        <w:fldChar w:fldCharType="end"/>
      </w:r>
    </w:p>
    <w:p>
      <w:pPr>
        <w:pStyle w:val="18"/>
        <w:tabs>
          <w:tab w:val="right" w:leader="dot" w:pos="9355"/>
          <w:tab w:val="clear" w:pos="9241"/>
        </w:tabs>
        <w:spacing w:before="78" w:after="78"/>
      </w:pPr>
      <w:r>
        <w:fldChar w:fldCharType="begin"/>
      </w:r>
      <w:r>
        <w:instrText xml:space="preserve"> HYPERLINK \l "_Toc10445" </w:instrText>
      </w:r>
      <w:r>
        <w:fldChar w:fldCharType="separate"/>
      </w:r>
      <w:r>
        <w:rPr>
          <w:rFonts w:hint="eastAsia" w:ascii="黑体" w:eastAsia="黑体"/>
        </w:rPr>
        <w:t xml:space="preserve">6 </w:t>
      </w:r>
      <w:r>
        <w:rPr>
          <w:rFonts w:hint="eastAsia"/>
        </w:rPr>
        <w:t>应急处置机构要求</w:t>
      </w:r>
      <w:r>
        <w:tab/>
      </w:r>
      <w:r>
        <w:fldChar w:fldCharType="begin"/>
      </w:r>
      <w:r>
        <w:instrText xml:space="preserve"> PAGEREF _Toc10445 \h </w:instrText>
      </w:r>
      <w:r>
        <w:fldChar w:fldCharType="separate"/>
      </w:r>
      <w:r>
        <w:t>5</w:t>
      </w:r>
      <w:r>
        <w:fldChar w:fldCharType="end"/>
      </w:r>
      <w:r>
        <w:fldChar w:fldCharType="end"/>
      </w:r>
    </w:p>
    <w:p>
      <w:pPr>
        <w:pStyle w:val="18"/>
        <w:tabs>
          <w:tab w:val="right" w:leader="dot" w:pos="9355"/>
          <w:tab w:val="clear" w:pos="9241"/>
        </w:tabs>
        <w:spacing w:before="78" w:after="78"/>
      </w:pPr>
      <w:r>
        <w:fldChar w:fldCharType="begin"/>
      </w:r>
      <w:r>
        <w:instrText xml:space="preserve"> HYPERLINK \l "_Toc26685" </w:instrText>
      </w:r>
      <w:r>
        <w:fldChar w:fldCharType="separate"/>
      </w:r>
      <w:r>
        <w:rPr>
          <w:rFonts w:hint="eastAsia" w:ascii="黑体" w:eastAsia="黑体"/>
        </w:rPr>
        <w:t xml:space="preserve">7 </w:t>
      </w:r>
      <w:r>
        <w:rPr>
          <w:rFonts w:hint="eastAsia"/>
        </w:rPr>
        <w:t>应急处置人员要求</w:t>
      </w:r>
      <w:r>
        <w:tab/>
      </w:r>
      <w:r>
        <w:fldChar w:fldCharType="begin"/>
      </w:r>
      <w:r>
        <w:instrText xml:space="preserve"> PAGEREF _Toc26685 \h </w:instrText>
      </w:r>
      <w:r>
        <w:fldChar w:fldCharType="separate"/>
      </w:r>
      <w:r>
        <w:t>6</w:t>
      </w:r>
      <w:r>
        <w:fldChar w:fldCharType="end"/>
      </w:r>
      <w:r>
        <w:fldChar w:fldCharType="end"/>
      </w:r>
    </w:p>
    <w:p>
      <w:pPr>
        <w:pStyle w:val="18"/>
        <w:tabs>
          <w:tab w:val="right" w:leader="dot" w:pos="9355"/>
          <w:tab w:val="clear" w:pos="9241"/>
        </w:tabs>
        <w:spacing w:before="78" w:after="78"/>
      </w:pPr>
      <w:r>
        <w:fldChar w:fldCharType="begin"/>
      </w:r>
      <w:r>
        <w:instrText xml:space="preserve"> HYPERLINK \l "_Toc21908" </w:instrText>
      </w:r>
      <w:r>
        <w:fldChar w:fldCharType="separate"/>
      </w:r>
      <w:r>
        <w:rPr>
          <w:rFonts w:hint="eastAsia" w:ascii="黑体" w:eastAsia="黑体"/>
        </w:rPr>
        <w:t xml:space="preserve">8 </w:t>
      </w:r>
      <w:r>
        <w:rPr>
          <w:rFonts w:hint="eastAsia"/>
        </w:rPr>
        <w:t>应急处置流程要求</w:t>
      </w:r>
      <w:r>
        <w:tab/>
      </w:r>
      <w:r>
        <w:fldChar w:fldCharType="begin"/>
      </w:r>
      <w:r>
        <w:instrText xml:space="preserve"> PAGEREF _Toc21908 \h </w:instrText>
      </w:r>
      <w:r>
        <w:fldChar w:fldCharType="separate"/>
      </w:r>
      <w:r>
        <w:t>6</w:t>
      </w:r>
      <w:r>
        <w:fldChar w:fldCharType="end"/>
      </w:r>
      <w:r>
        <w:fldChar w:fldCharType="end"/>
      </w:r>
    </w:p>
    <w:p>
      <w:pPr>
        <w:pStyle w:val="18"/>
        <w:tabs>
          <w:tab w:val="right" w:leader="dot" w:pos="9355"/>
          <w:tab w:val="clear" w:pos="9241"/>
        </w:tabs>
        <w:spacing w:before="78" w:after="78"/>
      </w:pPr>
      <w:r>
        <w:fldChar w:fldCharType="begin"/>
      </w:r>
      <w:r>
        <w:instrText xml:space="preserve"> HYPERLINK \l "_Toc8605" </w:instrText>
      </w:r>
      <w:r>
        <w:fldChar w:fldCharType="separate"/>
      </w:r>
      <w:r>
        <w:rPr>
          <w:rFonts w:hint="eastAsia" w:ascii="黑体" w:eastAsia="黑体"/>
        </w:rPr>
        <w:t xml:space="preserve">9 </w:t>
      </w:r>
      <w:r>
        <w:rPr>
          <w:rFonts w:hint="eastAsia"/>
        </w:rPr>
        <w:t>川渝地区的联动机制</w:t>
      </w:r>
      <w:r>
        <w:tab/>
      </w:r>
      <w:r>
        <w:fldChar w:fldCharType="begin"/>
      </w:r>
      <w:r>
        <w:instrText xml:space="preserve"> PAGEREF _Toc8605 \h </w:instrText>
      </w:r>
      <w:r>
        <w:fldChar w:fldCharType="separate"/>
      </w:r>
      <w:r>
        <w:t>8</w:t>
      </w:r>
      <w:r>
        <w:fldChar w:fldCharType="end"/>
      </w:r>
      <w:r>
        <w:fldChar w:fldCharType="end"/>
      </w:r>
    </w:p>
    <w:p>
      <w:pPr>
        <w:pStyle w:val="18"/>
        <w:tabs>
          <w:tab w:val="right" w:leader="dot" w:pos="9355"/>
          <w:tab w:val="clear" w:pos="9241"/>
        </w:tabs>
        <w:spacing w:before="78" w:after="78"/>
      </w:pPr>
      <w:r>
        <w:fldChar w:fldCharType="begin"/>
      </w:r>
      <w:r>
        <w:instrText xml:space="preserve"> HYPERLINK \l "_Toc15879" </w:instrText>
      </w:r>
      <w:r>
        <w:fldChar w:fldCharType="separate"/>
      </w:r>
      <w:r>
        <w:rPr>
          <w:rFonts w:hint="eastAsia" w:ascii="黑体" w:eastAsia="黑体"/>
        </w:rPr>
        <w:t xml:space="preserve">附　录　A </w:t>
      </w:r>
      <w:r>
        <w:tab/>
      </w:r>
      <w:r>
        <w:fldChar w:fldCharType="begin"/>
      </w:r>
      <w:r>
        <w:instrText xml:space="preserve"> PAGEREF _Toc15879 \h </w:instrText>
      </w:r>
      <w:r>
        <w:fldChar w:fldCharType="separate"/>
      </w:r>
      <w:r>
        <w:t>9</w:t>
      </w:r>
      <w:r>
        <w:fldChar w:fldCharType="end"/>
      </w:r>
      <w:r>
        <w:fldChar w:fldCharType="end"/>
      </w:r>
    </w:p>
    <w:p>
      <w:pPr>
        <w:pStyle w:val="18"/>
        <w:tabs>
          <w:tab w:val="right" w:leader="dot" w:pos="9355"/>
          <w:tab w:val="clear" w:pos="9241"/>
        </w:tabs>
        <w:spacing w:before="78" w:after="78"/>
      </w:pPr>
      <w:r>
        <w:fldChar w:fldCharType="begin"/>
      </w:r>
      <w:r>
        <w:instrText xml:space="preserve"> HYPERLINK \l "_Toc32596" </w:instrText>
      </w:r>
      <w:r>
        <w:fldChar w:fldCharType="separate"/>
      </w:r>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r>
        <w:tab/>
      </w:r>
      <w:r>
        <w:fldChar w:fldCharType="begin"/>
      </w:r>
      <w:r>
        <w:instrText xml:space="preserve"> PAGEREF _Toc32596 \h </w:instrText>
      </w:r>
      <w:r>
        <w:fldChar w:fldCharType="separate"/>
      </w:r>
      <w:r>
        <w:t>10</w:t>
      </w:r>
      <w:r>
        <w:fldChar w:fldCharType="end"/>
      </w:r>
      <w:r>
        <w:fldChar w:fldCharType="end"/>
      </w:r>
    </w:p>
    <w:p>
      <w:pPr>
        <w:pStyle w:val="22"/>
      </w:pPr>
      <w:r>
        <w:fldChar w:fldCharType="end"/>
      </w:r>
    </w:p>
    <w:p>
      <w:pPr>
        <w:pStyle w:val="109"/>
        <w:tabs>
          <w:tab w:val="left" w:pos="1105"/>
          <w:tab w:val="center" w:pos="4677"/>
        </w:tabs>
        <w:jc w:val="left"/>
      </w:pPr>
      <w:bookmarkStart w:id="17" w:name="_Toc17878125"/>
      <w:r>
        <w:tab/>
      </w:r>
      <w:r>
        <w:tab/>
      </w:r>
      <w:bookmarkStart w:id="18" w:name="_Toc8002"/>
      <w:r>
        <w:rPr>
          <w:rFonts w:hint="eastAsia"/>
        </w:rPr>
        <w:t>前</w:t>
      </w:r>
      <w:bookmarkStart w:id="19" w:name="BKQY"/>
      <w:r>
        <w:rPr>
          <w:rFonts w:hAnsi="黑体"/>
        </w:rPr>
        <w:t>  </w:t>
      </w:r>
      <w:r>
        <w:rPr>
          <w:rFonts w:hint="eastAsia"/>
        </w:rPr>
        <w:t>言</w:t>
      </w:r>
      <w:bookmarkEnd w:id="17"/>
      <w:bookmarkEnd w:id="18"/>
      <w:bookmarkEnd w:id="19"/>
    </w:p>
    <w:p>
      <w:pPr>
        <w:pStyle w:val="22"/>
      </w:pPr>
      <w:r>
        <w:rPr>
          <w:rFonts w:hint="eastAsia"/>
        </w:rPr>
        <w:t>本</w:t>
      </w:r>
      <w:r>
        <w:t>文件按照</w:t>
      </w:r>
      <w:r>
        <w:rPr>
          <w:rFonts w:hint="eastAsia"/>
        </w:rPr>
        <w:t xml:space="preserve"> GB/T 1.1—2020 《标准化</w:t>
      </w:r>
      <w:r>
        <w:t>工作导则</w:t>
      </w:r>
      <w:r>
        <w:rPr>
          <w:rFonts w:hint="eastAsia"/>
        </w:rPr>
        <w:t xml:space="preserve"> 第1部分</w:t>
      </w:r>
      <w:r>
        <w:t>：标准化文件的结构和起草规则</w:t>
      </w:r>
      <w:r>
        <w:rPr>
          <w:rFonts w:hint="eastAsia"/>
        </w:rPr>
        <w:t>》的</w:t>
      </w:r>
      <w:r>
        <w:t>规定起草。</w:t>
      </w:r>
    </w:p>
    <w:p>
      <w:pPr>
        <w:pStyle w:val="22"/>
      </w:pPr>
      <w:r>
        <w:rPr>
          <w:rFonts w:hint="eastAsia"/>
        </w:rPr>
        <w:t>请注意本文件的某些内容可能涉及专利。本文件的发布机构不承担识别专利的责任。</w:t>
      </w:r>
    </w:p>
    <w:p>
      <w:pPr>
        <w:pStyle w:val="22"/>
      </w:pPr>
      <w:r>
        <w:rPr>
          <w:rFonts w:hint="eastAsia"/>
        </w:rPr>
        <w:t>本</w:t>
      </w:r>
      <w:r>
        <w:t>文件由</w:t>
      </w:r>
      <w:r>
        <w:rPr>
          <w:rFonts w:hint="eastAsia"/>
        </w:rPr>
        <w:t>四川省市场监督管理局、重庆市市场监督管理局提出并归口</w:t>
      </w:r>
      <w:r>
        <w:t>。</w:t>
      </w:r>
    </w:p>
    <w:p>
      <w:pPr>
        <w:pStyle w:val="22"/>
      </w:pPr>
      <w:r>
        <w:rPr>
          <w:rFonts w:hint="eastAsia"/>
        </w:rPr>
        <w:t>本</w:t>
      </w:r>
      <w:r>
        <w:t>文件起草单位：</w:t>
      </w:r>
      <w:r>
        <w:rPr>
          <w:rFonts w:hint="eastAsia"/>
        </w:rPr>
        <w:t>四川省特种设备检验研究院、重庆市特种设备检测研究院、</w:t>
      </w:r>
      <w:r>
        <w:rPr>
          <w:rFonts w:hint="eastAsia"/>
          <w:lang w:val="en-US" w:eastAsia="zh-CN"/>
        </w:rPr>
        <w:t>中国测试技术研究院、</w:t>
      </w:r>
      <w:r>
        <w:rPr>
          <w:rFonts w:hint="eastAsia"/>
        </w:rPr>
        <w:t>四川大学、成都高新技术产业开发区市场监督管理局、成都高新减灾研究所、西华大学。</w:t>
      </w:r>
    </w:p>
    <w:p>
      <w:pPr>
        <w:pStyle w:val="22"/>
      </w:pPr>
      <w:r>
        <w:rPr>
          <w:rFonts w:hint="eastAsia"/>
        </w:rPr>
        <w:t>本</w:t>
      </w:r>
      <w:r>
        <w:t>文件主要起草人：</w:t>
      </w:r>
      <w:r>
        <w:rPr>
          <w:rFonts w:hint="eastAsia"/>
          <w:lang w:val="en-US" w:eastAsia="zh-CN"/>
        </w:rPr>
        <w:t>XXX</w:t>
      </w:r>
      <w:r>
        <w:rPr>
          <w:rFonts w:hint="eastAsia"/>
        </w:rPr>
        <w:t>。</w:t>
      </w:r>
    </w:p>
    <w:p>
      <w:pPr>
        <w:pStyle w:val="22"/>
        <w:rPr>
          <w:color w:val="FF0000"/>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r>
        <w:rPr>
          <w:rFonts w:hint="eastAsia"/>
        </w:rPr>
        <w:t>本文件为首次发布。</w:t>
      </w:r>
    </w:p>
    <w:p>
      <w:pPr>
        <w:pStyle w:val="134"/>
      </w:pPr>
      <w:sdt>
        <w:sdtPr>
          <w:alias w:val="标准名称"/>
          <w:tag w:val="标准名称"/>
          <w:id w:val="1795105741"/>
          <w:lock w:val="sdtLocked"/>
          <w:placeholder>
            <w:docPart w:val="111"/>
          </w:placeholder>
          <w:text w:multiLine="1"/>
        </w:sdtPr>
        <w:sdtContent>
          <w:r>
            <w:rPr>
              <w:rFonts w:hint="eastAsia"/>
            </w:rPr>
            <w:t>川渝地区电梯突发事件应急处置规范</w:t>
          </w:r>
        </w:sdtContent>
      </w:sdt>
      <w:bookmarkStart w:id="20" w:name="StandardName"/>
      <w:bookmarkEnd w:id="20"/>
    </w:p>
    <w:p>
      <w:pPr>
        <w:pStyle w:val="42"/>
        <w:spacing w:before="312" w:after="312"/>
      </w:pPr>
      <w:bookmarkStart w:id="21" w:name="_Toc30687"/>
      <w:bookmarkStart w:id="22" w:name="_Toc17878127"/>
      <w:r>
        <w:rPr>
          <w:rFonts w:hint="eastAsia"/>
        </w:rPr>
        <w:t>范围</w:t>
      </w:r>
      <w:bookmarkEnd w:id="21"/>
      <w:bookmarkEnd w:id="22"/>
    </w:p>
    <w:p>
      <w:pPr>
        <w:pStyle w:val="22"/>
      </w:pPr>
      <w:r>
        <w:rPr>
          <w:rFonts w:hint="eastAsia"/>
        </w:rPr>
        <w:t>本文件界定了电梯运行过程及川渝地区自然灾害引发的典型电梯突发事件类型，规定了电梯突发事件的应急处置机构要求、人员要求、流程要求</w:t>
      </w:r>
      <w:r>
        <w:rPr>
          <w:rFonts w:hint="eastAsia"/>
        </w:rPr>
        <w:tab/>
      </w:r>
      <w:r>
        <w:rPr>
          <w:rFonts w:hint="eastAsia"/>
        </w:rPr>
        <w:t>。</w:t>
      </w:r>
    </w:p>
    <w:p>
      <w:pPr>
        <w:pStyle w:val="22"/>
      </w:pPr>
      <w:r>
        <w:rPr>
          <w:rFonts w:hint="eastAsia"/>
        </w:rPr>
        <w:t>本文件适用于曳引驱动电梯轿厢困人、自动扶梯与自动人行道夹持困人以及地震、内涝引发的电梯突发事件的应急处置。</w:t>
      </w:r>
    </w:p>
    <w:p>
      <w:pPr>
        <w:pStyle w:val="22"/>
      </w:pPr>
      <w:r>
        <w:rPr>
          <w:rFonts w:hint="eastAsia"/>
        </w:rPr>
        <w:t>本文件不适用于非公共场所安装且仅供单一家庭使用的电梯。</w:t>
      </w:r>
    </w:p>
    <w:p>
      <w:pPr>
        <w:pStyle w:val="42"/>
        <w:spacing w:before="312" w:after="312"/>
      </w:pPr>
      <w:bookmarkStart w:id="23" w:name="_Toc17878128"/>
      <w:bookmarkStart w:id="24" w:name="_Toc22650"/>
      <w:r>
        <w:rPr>
          <w:rFonts w:hint="eastAsia"/>
        </w:rPr>
        <w:t>规范性引用文件</w:t>
      </w:r>
      <w:bookmarkEnd w:id="23"/>
      <w:bookmarkEnd w:id="24"/>
    </w:p>
    <w:p>
      <w:pPr>
        <w:pStyle w:val="22"/>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pPr>
        <w:pStyle w:val="22"/>
      </w:pPr>
      <w:r>
        <w:rPr>
          <w:rFonts w:hint="eastAsia"/>
        </w:rPr>
        <w:t>GB/T 20900  电梯、自动扶梯和自动人行道 风险评价和降低的方法</w:t>
      </w:r>
    </w:p>
    <w:p>
      <w:pPr>
        <w:pStyle w:val="22"/>
      </w:pPr>
      <w:r>
        <w:rPr>
          <w:rFonts w:hint="eastAsia"/>
        </w:rPr>
        <w:t>GB/T 24803.1  电梯安全要求 第1部分：电梯基本安全要求</w:t>
      </w:r>
    </w:p>
    <w:p>
      <w:pPr>
        <w:pStyle w:val="22"/>
      </w:pPr>
      <w:r>
        <w:rPr>
          <w:rFonts w:hint="eastAsia"/>
        </w:rPr>
        <w:t>GB/T 24804  提高在用电梯安全性的规范</w:t>
      </w:r>
    </w:p>
    <w:p>
      <w:pPr>
        <w:pStyle w:val="22"/>
      </w:pPr>
      <w:r>
        <w:rPr>
          <w:rFonts w:hint="eastAsia"/>
        </w:rPr>
        <w:t>GB/T 31095  地震情况下的电梯要求</w:t>
      </w:r>
    </w:p>
    <w:p>
      <w:pPr>
        <w:pStyle w:val="22"/>
      </w:pPr>
      <w:r>
        <w:rPr>
          <w:rFonts w:hint="eastAsia"/>
        </w:rPr>
        <w:t xml:space="preserve">TSG 03  </w:t>
      </w:r>
      <w:r>
        <w:t>特种设备事故报告和调查处理导则</w:t>
      </w:r>
    </w:p>
    <w:p>
      <w:pPr>
        <w:pStyle w:val="22"/>
      </w:pPr>
      <w:r>
        <w:rPr>
          <w:rFonts w:hint="eastAsia"/>
        </w:rPr>
        <w:t xml:space="preserve">TSG 08  特种设备使用管理规则 </w:t>
      </w:r>
    </w:p>
    <w:p>
      <w:pPr>
        <w:pStyle w:val="22"/>
      </w:pPr>
      <w:r>
        <w:rPr>
          <w:rFonts w:hint="eastAsia"/>
        </w:rPr>
        <w:t>TSG T5002  电梯维护保养规则</w:t>
      </w:r>
    </w:p>
    <w:p>
      <w:pPr>
        <w:pStyle w:val="42"/>
        <w:spacing w:before="312" w:after="312"/>
      </w:pPr>
      <w:bookmarkStart w:id="25" w:name="_Toc17878129"/>
      <w:bookmarkEnd w:id="25"/>
      <w:bookmarkStart w:id="26" w:name="_Toc22915"/>
      <w:r>
        <w:rPr>
          <w:rFonts w:hint="eastAsia"/>
        </w:rPr>
        <w:t>术语</w:t>
      </w:r>
      <w:r>
        <w:t>和定义</w:t>
      </w:r>
      <w:bookmarkEnd w:id="26"/>
    </w:p>
    <w:p>
      <w:pPr>
        <w:pStyle w:val="22"/>
      </w:pPr>
      <w:r>
        <w:rPr>
          <w:rFonts w:hint="eastAsia"/>
        </w:rPr>
        <w:t>下列术语和定义适用于本文件。</w:t>
      </w:r>
    </w:p>
    <w:p>
      <w:pPr>
        <w:pStyle w:val="39"/>
        <w:spacing w:before="156" w:after="156"/>
      </w:pPr>
      <w:bookmarkStart w:id="27" w:name="_Toc4202"/>
      <w:bookmarkEnd w:id="27"/>
      <w:bookmarkStart w:id="28" w:name="_Toc7150"/>
      <w:bookmarkEnd w:id="28"/>
      <w:bookmarkStart w:id="29" w:name="_Toc3393"/>
      <w:bookmarkEnd w:id="29"/>
      <w:bookmarkStart w:id="30" w:name="_Toc1873"/>
      <w:bookmarkEnd w:id="30"/>
    </w:p>
    <w:p>
      <w:pPr>
        <w:pStyle w:val="22"/>
        <w:rPr>
          <w:rFonts w:hint="eastAsia" w:ascii="黑体" w:hAnsi="黑体" w:eastAsia="黑体"/>
        </w:rPr>
      </w:pPr>
      <w:r>
        <w:rPr>
          <w:rFonts w:hint="eastAsia" w:ascii="黑体" w:hAnsi="黑体" w:eastAsia="黑体"/>
        </w:rPr>
        <w:t>电梯突发事件 Elevator emergency</w:t>
      </w:r>
    </w:p>
    <w:p>
      <w:pPr>
        <w:pStyle w:val="22"/>
      </w:pPr>
      <w:r>
        <w:rPr>
          <w:rFonts w:hint="eastAsia"/>
        </w:rPr>
        <w:t>曳引驱动电梯运行过程发生轿厢困人、自动扶梯与自动人行道运行过程发生夹持困人，以及地震、内涝引发曳引驱动电梯故障，可能引发人身安全风险，需要采取应急处置措施予以应对的事件。</w:t>
      </w:r>
    </w:p>
    <w:p>
      <w:pPr>
        <w:pStyle w:val="39"/>
        <w:spacing w:before="156" w:after="156"/>
      </w:pPr>
      <w:bookmarkStart w:id="31" w:name="_Toc5031"/>
      <w:bookmarkEnd w:id="31"/>
      <w:bookmarkStart w:id="32" w:name="_Toc9489"/>
      <w:bookmarkEnd w:id="32"/>
      <w:bookmarkStart w:id="33" w:name="_Toc22573"/>
      <w:bookmarkEnd w:id="33"/>
      <w:bookmarkStart w:id="34" w:name="_Toc27792"/>
      <w:bookmarkEnd w:id="34"/>
      <w:bookmarkStart w:id="35" w:name="_Toc24282"/>
      <w:bookmarkEnd w:id="35"/>
      <w:bookmarkStart w:id="36" w:name="_Toc28208"/>
      <w:bookmarkEnd w:id="36"/>
      <w:bookmarkStart w:id="37" w:name="_Toc18759"/>
      <w:bookmarkEnd w:id="37"/>
    </w:p>
    <w:p>
      <w:pPr>
        <w:pStyle w:val="22"/>
        <w:rPr>
          <w:rFonts w:hint="eastAsia" w:ascii="黑体" w:hAnsi="黑体" w:eastAsia="黑体"/>
        </w:rPr>
      </w:pPr>
      <w:r>
        <w:rPr>
          <w:rFonts w:hint="eastAsia" w:ascii="黑体" w:hAnsi="黑体" w:eastAsia="黑体"/>
        </w:rPr>
        <w:t>电梯应急处置信息平台 Elevator emergency response information platform</w:t>
      </w:r>
    </w:p>
    <w:p>
      <w:pPr>
        <w:pStyle w:val="22"/>
      </w:pPr>
      <w:r>
        <w:rPr>
          <w:rFonts w:hint="eastAsia"/>
        </w:rPr>
        <w:t>对电梯运行状态进行监控，识别和处置电梯突发事件的公共服务平台。</w:t>
      </w:r>
    </w:p>
    <w:p>
      <w:pPr>
        <w:pStyle w:val="39"/>
        <w:spacing w:before="156" w:after="156"/>
      </w:pPr>
      <w:bookmarkStart w:id="38" w:name="_Toc20567"/>
      <w:bookmarkEnd w:id="38"/>
      <w:bookmarkStart w:id="39" w:name="_Toc24603"/>
      <w:bookmarkEnd w:id="39"/>
      <w:bookmarkStart w:id="40" w:name="_Toc6737"/>
      <w:bookmarkEnd w:id="40"/>
      <w:bookmarkStart w:id="41" w:name="_Toc4470"/>
      <w:bookmarkEnd w:id="41"/>
    </w:p>
    <w:p>
      <w:pPr>
        <w:pStyle w:val="22"/>
        <w:rPr>
          <w:rFonts w:hint="eastAsia" w:ascii="黑体" w:hAnsi="黑体" w:eastAsia="黑体"/>
        </w:rPr>
      </w:pPr>
      <w:r>
        <w:rPr>
          <w:rFonts w:hint="eastAsia" w:ascii="黑体" w:hAnsi="黑体" w:eastAsia="黑体"/>
        </w:rPr>
        <w:t>一级救援单位 First rescue unit</w:t>
      </w:r>
    </w:p>
    <w:p>
      <w:pPr>
        <w:pStyle w:val="22"/>
      </w:pPr>
      <w:r>
        <w:rPr>
          <w:rFonts w:hint="eastAsia"/>
        </w:rPr>
        <w:t>依照《特种设备安全法》取得许可的电梯安装、改造、修理单位，且与电梯使用单位签订维护保养合同。</w:t>
      </w:r>
    </w:p>
    <w:p>
      <w:pPr>
        <w:pStyle w:val="39"/>
        <w:spacing w:before="156" w:after="156"/>
      </w:pPr>
      <w:bookmarkStart w:id="42" w:name="_Toc255"/>
      <w:bookmarkEnd w:id="42"/>
      <w:bookmarkStart w:id="43" w:name="_Toc13030"/>
      <w:bookmarkEnd w:id="43"/>
      <w:bookmarkStart w:id="44" w:name="_Toc3522"/>
      <w:bookmarkEnd w:id="44"/>
      <w:bookmarkStart w:id="45" w:name="_Toc32286"/>
      <w:bookmarkEnd w:id="45"/>
    </w:p>
    <w:p>
      <w:pPr>
        <w:pStyle w:val="22"/>
        <w:rPr>
          <w:rFonts w:hint="eastAsia" w:ascii="黑体" w:hAnsi="黑体" w:eastAsia="黑体"/>
        </w:rPr>
      </w:pPr>
      <w:r>
        <w:rPr>
          <w:rFonts w:hint="eastAsia" w:ascii="黑体" w:hAnsi="黑体" w:eastAsia="黑体"/>
        </w:rPr>
        <w:t>二级救援单位 Second rescue unit</w:t>
      </w:r>
    </w:p>
    <w:p>
      <w:pPr>
        <w:pStyle w:val="22"/>
      </w:pPr>
      <w:r>
        <w:rPr>
          <w:rFonts w:hint="eastAsia"/>
        </w:rPr>
        <w:t>针对可能发生人员伤亡的电梯突发事件类型，由具备电梯应急处置能力的社会力量建立的电梯应急救援站。</w:t>
      </w:r>
    </w:p>
    <w:p>
      <w:pPr>
        <w:pStyle w:val="42"/>
        <w:spacing w:before="312" w:after="312"/>
      </w:pPr>
      <w:bookmarkStart w:id="46" w:name="_Toc5293"/>
      <w:r>
        <w:rPr>
          <w:rFonts w:hint="eastAsia"/>
        </w:rPr>
        <w:t>基本要求</w:t>
      </w:r>
      <w:bookmarkEnd w:id="46"/>
    </w:p>
    <w:p>
      <w:pPr>
        <w:pStyle w:val="39"/>
        <w:spacing w:before="156" w:after="156"/>
      </w:pPr>
      <w:bookmarkStart w:id="47" w:name="_Toc1908"/>
      <w:r>
        <w:rPr>
          <w:rFonts w:hint="eastAsia"/>
        </w:rPr>
        <w:t>一般要求</w:t>
      </w:r>
      <w:bookmarkEnd w:id="47"/>
    </w:p>
    <w:p>
      <w:pPr>
        <w:pStyle w:val="60"/>
      </w:pPr>
      <w:r>
        <w:rPr>
          <w:rFonts w:hint="eastAsia"/>
        </w:rPr>
        <w:t>四川省电梯突发事件报警信号接入设区的市级电梯应急处置信息平台，重庆市电梯突发事件报警信号接入重庆市电梯96333应急处置平台。</w:t>
      </w:r>
    </w:p>
    <w:p>
      <w:pPr>
        <w:pStyle w:val="60"/>
      </w:pPr>
      <w:r>
        <w:rPr>
          <w:rFonts w:hint="eastAsia"/>
        </w:rPr>
        <w:t>电梯应急救援站应满足电梯应急处置所需的人员、设备等资源要求。</w:t>
      </w:r>
    </w:p>
    <w:p>
      <w:pPr>
        <w:pStyle w:val="60"/>
      </w:pPr>
      <w:r>
        <w:rPr>
          <w:rFonts w:hint="eastAsia"/>
        </w:rPr>
        <w:t>当电梯突发事件上升到特种设备事故时，应按照《特种设备事故报告和调查处理规定》的要求进行报告。</w:t>
      </w:r>
    </w:p>
    <w:p>
      <w:pPr>
        <w:pStyle w:val="39"/>
        <w:spacing w:before="156" w:after="156"/>
      </w:pPr>
      <w:bookmarkStart w:id="48" w:name="_Toc24672"/>
      <w:bookmarkStart w:id="49" w:name="_Toc1499"/>
      <w:bookmarkStart w:id="50" w:name="_Toc23218"/>
      <w:bookmarkStart w:id="51" w:name="_Toc22203"/>
      <w:bookmarkStart w:id="52" w:name="_Toc21941"/>
      <w:r>
        <w:rPr>
          <w:rFonts w:hint="eastAsia"/>
        </w:rPr>
        <w:t>应急通信</w:t>
      </w:r>
      <w:bookmarkEnd w:id="48"/>
      <w:bookmarkEnd w:id="49"/>
      <w:bookmarkEnd w:id="50"/>
      <w:bookmarkEnd w:id="51"/>
      <w:bookmarkEnd w:id="52"/>
    </w:p>
    <w:p>
      <w:pPr>
        <w:pStyle w:val="60"/>
      </w:pPr>
      <w:r>
        <w:rPr>
          <w:rFonts w:hint="eastAsia"/>
        </w:rPr>
        <w:t>电梯使用单位应每天检查轿厢紧急报警终端，确保其正常工作。</w:t>
      </w:r>
    </w:p>
    <w:p>
      <w:pPr>
        <w:pStyle w:val="60"/>
      </w:pPr>
      <w:r>
        <w:rPr>
          <w:rFonts w:hint="eastAsia"/>
        </w:rPr>
        <w:t>电梯轿厢紧急报警终端应采用凸起的电话、警铃等图案予以标识，或采用比其他按键明显凸起的红色按钮。</w:t>
      </w:r>
    </w:p>
    <w:p>
      <w:pPr>
        <w:pStyle w:val="60"/>
      </w:pPr>
      <w:r>
        <w:rPr>
          <w:rFonts w:hint="eastAsia"/>
        </w:rPr>
        <w:t>电梯轿厢紧急报警终端应通话清晰，修正值不得低于70分贝。</w:t>
      </w:r>
    </w:p>
    <w:p>
      <w:pPr>
        <w:pStyle w:val="60"/>
      </w:pPr>
      <w:r>
        <w:rPr>
          <w:rFonts w:hint="eastAsia"/>
        </w:rPr>
        <w:t>电梯轿厢紧急报警终端持续工作时间不低于60分钟，如救援时间超过60分钟，使用单位应启用备用通信装置，确保救援信息通畅。</w:t>
      </w:r>
    </w:p>
    <w:p>
      <w:pPr>
        <w:pStyle w:val="60"/>
      </w:pPr>
      <w:r>
        <w:rPr>
          <w:rFonts w:hint="eastAsia"/>
        </w:rPr>
        <w:t>自动扶梯发生夹持困人时，使用单位应在被困人员附近配置通信设备，实时沟通救援信息。</w:t>
      </w:r>
    </w:p>
    <w:p>
      <w:pPr>
        <w:pStyle w:val="39"/>
        <w:spacing w:before="156" w:after="156"/>
      </w:pPr>
      <w:bookmarkStart w:id="53" w:name="_Toc27272"/>
      <w:bookmarkStart w:id="54" w:name="_Toc10908"/>
      <w:bookmarkStart w:id="55" w:name="_Toc10219"/>
      <w:bookmarkStart w:id="56" w:name="_Toc25148"/>
      <w:bookmarkStart w:id="57" w:name="_Toc28931"/>
      <w:r>
        <w:rPr>
          <w:rFonts w:hint="eastAsia"/>
        </w:rPr>
        <w:t>应急照明</w:t>
      </w:r>
      <w:bookmarkEnd w:id="53"/>
      <w:bookmarkEnd w:id="54"/>
      <w:bookmarkEnd w:id="55"/>
      <w:bookmarkEnd w:id="56"/>
      <w:bookmarkEnd w:id="57"/>
    </w:p>
    <w:p>
      <w:pPr>
        <w:pStyle w:val="60"/>
      </w:pPr>
      <w:r>
        <w:rPr>
          <w:rFonts w:hint="eastAsia"/>
        </w:rPr>
        <w:t>电梯动力电源断开时，轿厢应急照明自动启动。</w:t>
      </w:r>
    </w:p>
    <w:p>
      <w:pPr>
        <w:pStyle w:val="60"/>
      </w:pPr>
      <w:r>
        <w:rPr>
          <w:rFonts w:hint="eastAsia"/>
        </w:rPr>
        <w:t>电梯轿厢地面中心的照度不得低于50lux。</w:t>
      </w:r>
    </w:p>
    <w:p>
      <w:pPr>
        <w:pStyle w:val="60"/>
      </w:pPr>
      <w:r>
        <w:rPr>
          <w:rFonts w:hint="eastAsia"/>
        </w:rPr>
        <w:t>电梯轿厢紧急报警终端10cm</w:t>
      </w:r>
      <w:r>
        <w:rPr>
          <w:rFonts w:hint="eastAsia"/>
          <w:vertAlign w:val="superscript"/>
        </w:rPr>
        <w:t>2</w:t>
      </w:r>
      <w:r>
        <w:rPr>
          <w:rFonts w:hint="eastAsia"/>
        </w:rPr>
        <w:t>范围的照度不得低于70lux。</w:t>
      </w:r>
    </w:p>
    <w:p>
      <w:pPr>
        <w:pStyle w:val="60"/>
      </w:pPr>
      <w:r>
        <w:rPr>
          <w:rFonts w:hint="eastAsia"/>
        </w:rPr>
        <w:t>自动扶梯发生夹持困人时，事发地1m</w:t>
      </w:r>
      <w:r>
        <w:rPr>
          <w:rFonts w:hint="eastAsia"/>
          <w:vertAlign w:val="superscript"/>
        </w:rPr>
        <w:t>2</w:t>
      </w:r>
      <w:r>
        <w:rPr>
          <w:rFonts w:hint="eastAsia"/>
        </w:rPr>
        <w:t>范围的照度不得低于200lux。</w:t>
      </w:r>
    </w:p>
    <w:p>
      <w:pPr>
        <w:pStyle w:val="60"/>
      </w:pPr>
      <w:r>
        <w:rPr>
          <w:rFonts w:hint="eastAsia"/>
        </w:rPr>
        <w:t>应急照明的持续工作时间不得低于60分钟，如救援超过60分钟，使用单位应启用备用电源确保救援现场满足上述照度要求。</w:t>
      </w:r>
    </w:p>
    <w:p>
      <w:pPr>
        <w:pStyle w:val="39"/>
        <w:spacing w:before="156" w:after="156"/>
      </w:pPr>
      <w:bookmarkStart w:id="58" w:name="_Toc4564"/>
      <w:bookmarkStart w:id="59" w:name="_Toc17194"/>
      <w:r>
        <w:rPr>
          <w:rFonts w:hint="eastAsia"/>
        </w:rPr>
        <w:t>安全操作</w:t>
      </w:r>
      <w:bookmarkEnd w:id="58"/>
      <w:bookmarkEnd w:id="59"/>
    </w:p>
    <w:p>
      <w:pPr>
        <w:pStyle w:val="60"/>
      </w:pPr>
      <w:r>
        <w:rPr>
          <w:rFonts w:hint="eastAsia"/>
        </w:rPr>
        <w:t>应急处置应由至少2名技术人员进行，处置现场应放置警示牌或安全护栏。</w:t>
      </w:r>
    </w:p>
    <w:p>
      <w:pPr>
        <w:pStyle w:val="60"/>
      </w:pPr>
      <w:r>
        <w:rPr>
          <w:rFonts w:hint="eastAsia"/>
        </w:rPr>
        <w:t>应急处置技术人员应正确配备和穿戴防护用品，不得违章操作。</w:t>
      </w:r>
    </w:p>
    <w:p>
      <w:pPr>
        <w:pStyle w:val="60"/>
      </w:pPr>
      <w:r>
        <w:rPr>
          <w:rFonts w:hint="eastAsia"/>
        </w:rPr>
        <w:t>应急处置活动必须确保人员安全，避免产生二次事故或更大伤害。</w:t>
      </w:r>
    </w:p>
    <w:p>
      <w:pPr>
        <w:pStyle w:val="60"/>
      </w:pPr>
      <w:r>
        <w:rPr>
          <w:rFonts w:hint="eastAsia"/>
        </w:rPr>
        <w:t>涉及困人救援时，必须有具备2年及以上电梯维保或应急救援相关工作经验的人员参与。</w:t>
      </w:r>
    </w:p>
    <w:p>
      <w:pPr>
        <w:pStyle w:val="39"/>
        <w:spacing w:before="156" w:after="156"/>
      </w:pPr>
      <w:bookmarkStart w:id="60" w:name="_Toc1982"/>
      <w:bookmarkStart w:id="61" w:name="_Toc13845"/>
      <w:bookmarkStart w:id="62" w:name="_Toc26422"/>
      <w:bookmarkStart w:id="63" w:name="_Toc9975"/>
      <w:bookmarkStart w:id="64" w:name="_Toc8272"/>
      <w:r>
        <w:rPr>
          <w:rFonts w:hint="eastAsia"/>
        </w:rPr>
        <w:t>现场处置</w:t>
      </w:r>
      <w:bookmarkEnd w:id="60"/>
      <w:bookmarkEnd w:id="61"/>
      <w:bookmarkEnd w:id="62"/>
      <w:bookmarkEnd w:id="63"/>
      <w:bookmarkEnd w:id="64"/>
    </w:p>
    <w:p>
      <w:pPr>
        <w:pStyle w:val="60"/>
      </w:pPr>
      <w:r>
        <w:rPr>
          <w:rFonts w:hint="eastAsia"/>
        </w:rPr>
        <w:t>应急处置人员到达现场后，应对电梯突发事件进行总体分析和研判。</w:t>
      </w:r>
    </w:p>
    <w:p>
      <w:pPr>
        <w:pStyle w:val="60"/>
      </w:pPr>
      <w:r>
        <w:rPr>
          <w:rFonts w:hint="eastAsia"/>
        </w:rPr>
        <w:t>电梯突发事件可能涉及人员伤亡时，应首先评估救援难度。</w:t>
      </w:r>
    </w:p>
    <w:p>
      <w:pPr>
        <w:pStyle w:val="60"/>
      </w:pPr>
      <w:r>
        <w:rPr>
          <w:rFonts w:hint="eastAsia"/>
        </w:rPr>
        <w:t>根据电梯突发事件特征，选择适宜的应急处置流程。当超出本文件规定范围时，按维保单位或救援站建立的应急处置流程进行。</w:t>
      </w:r>
    </w:p>
    <w:p>
      <w:pPr>
        <w:pStyle w:val="60"/>
      </w:pPr>
      <w:r>
        <w:rPr>
          <w:rFonts w:hint="eastAsia"/>
        </w:rPr>
        <w:t>有乘客被困时，如发生二次伤害或救援时间超过30分钟仍未脱困，应立即通知119消防部门和120急救中心协助救援。</w:t>
      </w:r>
    </w:p>
    <w:p>
      <w:pPr>
        <w:pStyle w:val="39"/>
        <w:spacing w:before="156" w:after="156"/>
      </w:pPr>
      <w:bookmarkStart w:id="65" w:name="_Toc28376"/>
      <w:bookmarkStart w:id="66" w:name="_Toc17524"/>
      <w:bookmarkStart w:id="67" w:name="_Toc18010"/>
      <w:bookmarkStart w:id="68" w:name="_Toc12399"/>
      <w:bookmarkStart w:id="69" w:name="_Toc19128"/>
      <w:r>
        <w:rPr>
          <w:rFonts w:hint="eastAsia"/>
        </w:rPr>
        <w:t>后期处置</w:t>
      </w:r>
      <w:bookmarkEnd w:id="65"/>
      <w:bookmarkEnd w:id="66"/>
      <w:bookmarkEnd w:id="67"/>
      <w:bookmarkEnd w:id="68"/>
      <w:bookmarkEnd w:id="69"/>
    </w:p>
    <w:p>
      <w:pPr>
        <w:pStyle w:val="60"/>
      </w:pPr>
      <w:r>
        <w:rPr>
          <w:rFonts w:hint="eastAsia"/>
        </w:rPr>
        <w:t>应急处置完成后，应急处置人员应填写《电梯突发事件应急处置记录表》（见附录A），由使用单位存档2年。</w:t>
      </w:r>
    </w:p>
    <w:p>
      <w:pPr>
        <w:pStyle w:val="60"/>
      </w:pPr>
      <w:r>
        <w:rPr>
          <w:rFonts w:hint="eastAsia"/>
        </w:rPr>
        <w:t>有人员伤亡或较大财产损失时，《电梯突发事件应急处置记录表》应报送事发地电梯监管部门。</w:t>
      </w:r>
    </w:p>
    <w:p>
      <w:pPr>
        <w:pStyle w:val="60"/>
      </w:pPr>
      <w:r>
        <w:rPr>
          <w:rFonts w:hint="eastAsia"/>
        </w:rPr>
        <w:t>电梯维保单位应对电梯进行全面检查，确保电梯已恢复安全状态，由电梯使用单位安全管理人员确认后方可投入使用。</w:t>
      </w:r>
    </w:p>
    <w:p>
      <w:pPr>
        <w:pStyle w:val="60"/>
      </w:pPr>
      <w:r>
        <w:rPr>
          <w:rFonts w:hint="eastAsia"/>
        </w:rPr>
        <w:t>当电梯使用单位或维保单位不能判断电梯安全状态时，可委托电梯检验检测机构对涉事电梯进行安全评估。</w:t>
      </w:r>
    </w:p>
    <w:p>
      <w:pPr>
        <w:pStyle w:val="42"/>
        <w:spacing w:before="312" w:after="312"/>
      </w:pPr>
      <w:bookmarkStart w:id="70" w:name="_Toc6714"/>
      <w:r>
        <w:rPr>
          <w:rFonts w:hint="eastAsia"/>
        </w:rPr>
        <w:t>电梯突发事件类型</w:t>
      </w:r>
      <w:bookmarkEnd w:id="70"/>
    </w:p>
    <w:p>
      <w:pPr>
        <w:pStyle w:val="39"/>
        <w:spacing w:before="156" w:after="156"/>
      </w:pPr>
      <w:bookmarkStart w:id="71" w:name="_Toc32052"/>
      <w:bookmarkStart w:id="72" w:name="_Toc14458"/>
      <w:bookmarkStart w:id="73" w:name="_Toc15053"/>
      <w:bookmarkStart w:id="74" w:name="_Toc18776"/>
      <w:bookmarkStart w:id="75" w:name="_Toc19519"/>
      <w:r>
        <w:rPr>
          <w:rFonts w:hint="eastAsia"/>
        </w:rPr>
        <w:t>设备运行常见的电梯突发事件</w:t>
      </w:r>
      <w:bookmarkEnd w:id="71"/>
      <w:bookmarkEnd w:id="72"/>
    </w:p>
    <w:p>
      <w:pPr>
        <w:pStyle w:val="43"/>
        <w:spacing w:before="156" w:after="156"/>
      </w:pPr>
      <w:bookmarkStart w:id="76" w:name="_Toc30007"/>
      <w:bookmarkStart w:id="77" w:name="_Toc11012"/>
      <w:r>
        <w:rPr>
          <w:rFonts w:hint="eastAsia"/>
        </w:rPr>
        <w:t>轿厢困人</w:t>
      </w:r>
      <w:bookmarkEnd w:id="76"/>
      <w:bookmarkEnd w:id="77"/>
    </w:p>
    <w:p>
      <w:pPr>
        <w:pStyle w:val="22"/>
      </w:pPr>
      <w:r>
        <w:rPr>
          <w:rFonts w:hint="eastAsia"/>
        </w:rPr>
        <w:t>电梯运行过程中，由于设备故障或乘客的不当行为导致电梯停止运行，导致乘客被困轿厢。</w:t>
      </w:r>
    </w:p>
    <w:p>
      <w:pPr>
        <w:pStyle w:val="43"/>
        <w:spacing w:before="156" w:after="156"/>
      </w:pPr>
      <w:bookmarkStart w:id="78" w:name="_Toc17756"/>
      <w:bookmarkStart w:id="79" w:name="_Toc20089"/>
      <w:r>
        <w:rPr>
          <w:rFonts w:hint="eastAsia"/>
        </w:rPr>
        <w:t>夹持困人</w:t>
      </w:r>
      <w:bookmarkEnd w:id="78"/>
      <w:bookmarkEnd w:id="79"/>
    </w:p>
    <w:p>
      <w:pPr>
        <w:pStyle w:val="22"/>
      </w:pPr>
      <w:r>
        <w:t>自动扶梯与自动人行道使用过程中，乘客身体部位被扶手带、梯级或踏板、围裙板、梳齿板、相邻防护栏及建筑物夹持，且靠自身力量无法脱困。</w:t>
      </w:r>
    </w:p>
    <w:p>
      <w:pPr>
        <w:pStyle w:val="39"/>
        <w:spacing w:before="156" w:after="156"/>
      </w:pPr>
      <w:bookmarkStart w:id="80" w:name="_Toc21108"/>
      <w:bookmarkStart w:id="81" w:name="_Toc14375"/>
      <w:r>
        <w:rPr>
          <w:rFonts w:hint="eastAsia"/>
        </w:rPr>
        <w:t>自然灾害引发的电梯突发事件</w:t>
      </w:r>
      <w:bookmarkEnd w:id="73"/>
      <w:bookmarkEnd w:id="74"/>
      <w:bookmarkEnd w:id="75"/>
      <w:bookmarkEnd w:id="80"/>
      <w:bookmarkEnd w:id="81"/>
    </w:p>
    <w:p>
      <w:pPr>
        <w:pStyle w:val="43"/>
        <w:spacing w:before="156" w:after="156"/>
      </w:pPr>
      <w:bookmarkStart w:id="82" w:name="_Toc7339"/>
      <w:bookmarkStart w:id="83" w:name="_Toc21181"/>
      <w:r>
        <w:rPr>
          <w:rFonts w:hint="eastAsia"/>
        </w:rPr>
        <w:t>地震引发的电梯突发事件</w:t>
      </w:r>
      <w:bookmarkEnd w:id="82"/>
      <w:bookmarkEnd w:id="83"/>
    </w:p>
    <w:p>
      <w:pPr>
        <w:pStyle w:val="22"/>
      </w:pPr>
      <w:r>
        <w:rPr>
          <w:rFonts w:hint="eastAsia"/>
        </w:rPr>
        <w:t>地震发生时，电梯使用环境发生变化，引发电梯部件变形、移位等，导致电梯发生故障。</w:t>
      </w:r>
    </w:p>
    <w:p>
      <w:pPr>
        <w:pStyle w:val="43"/>
        <w:spacing w:before="156" w:after="156"/>
      </w:pPr>
      <w:bookmarkStart w:id="84" w:name="_Toc27455"/>
      <w:bookmarkStart w:id="85" w:name="_Toc16585"/>
      <w:r>
        <w:rPr>
          <w:rFonts w:hint="eastAsia"/>
        </w:rPr>
        <w:t>内涝引发的电梯突发事件</w:t>
      </w:r>
      <w:bookmarkEnd w:id="84"/>
      <w:bookmarkEnd w:id="85"/>
    </w:p>
    <w:p>
      <w:pPr>
        <w:pStyle w:val="22"/>
      </w:pPr>
      <w:r>
        <w:rPr>
          <w:rFonts w:hint="eastAsia"/>
        </w:rPr>
        <w:t>内涝发生时，导致电梯井道进水，引发电梯部件浸水、短路等故障。</w:t>
      </w:r>
    </w:p>
    <w:p>
      <w:pPr>
        <w:pStyle w:val="42"/>
        <w:spacing w:before="312" w:after="312"/>
      </w:pPr>
      <w:bookmarkStart w:id="86" w:name="_Toc10445"/>
      <w:r>
        <w:rPr>
          <w:rFonts w:hint="eastAsia"/>
        </w:rPr>
        <w:t>应急处置机构要求</w:t>
      </w:r>
      <w:bookmarkEnd w:id="86"/>
    </w:p>
    <w:p>
      <w:pPr>
        <w:pStyle w:val="39"/>
        <w:spacing w:before="156" w:after="156"/>
      </w:pPr>
      <w:bookmarkStart w:id="87" w:name="_Toc582"/>
      <w:bookmarkStart w:id="88" w:name="_Toc21667"/>
      <w:bookmarkStart w:id="89" w:name="_Toc31852"/>
      <w:bookmarkStart w:id="90" w:name="_Toc25724"/>
      <w:bookmarkStart w:id="91" w:name="_Toc8566"/>
      <w:r>
        <w:rPr>
          <w:rFonts w:hint="eastAsia"/>
        </w:rPr>
        <w:t>电梯使用单位</w:t>
      </w:r>
      <w:bookmarkEnd w:id="87"/>
      <w:bookmarkEnd w:id="88"/>
      <w:bookmarkEnd w:id="89"/>
      <w:bookmarkEnd w:id="90"/>
      <w:bookmarkEnd w:id="91"/>
    </w:p>
    <w:p>
      <w:pPr>
        <w:pStyle w:val="60"/>
      </w:pPr>
      <w:r>
        <w:rPr>
          <w:rFonts w:hint="eastAsia"/>
        </w:rPr>
        <w:t>应确保在用电梯始终接入电梯应急处置信息平台。</w:t>
      </w:r>
    </w:p>
    <w:p>
      <w:pPr>
        <w:pStyle w:val="60"/>
      </w:pPr>
      <w:r>
        <w:rPr>
          <w:rFonts w:hint="eastAsia"/>
        </w:rPr>
        <w:t>应制定电梯突发事件应急处置预案，储备应急医疗物资，根据本单位电梯品种、用途和数量合理配置安全管理人员，建立24小时应急值班制度。</w:t>
      </w:r>
    </w:p>
    <w:p>
      <w:pPr>
        <w:pStyle w:val="60"/>
      </w:pPr>
      <w:r>
        <w:rPr>
          <w:rFonts w:hint="eastAsia"/>
        </w:rPr>
        <w:t>当乘客被困时，应在3分钟内通知电梯维保单位，并派工作人员到救援现场，全程协助救援人员对被困人员进行情绪安抚。</w:t>
      </w:r>
    </w:p>
    <w:p>
      <w:pPr>
        <w:pStyle w:val="60"/>
      </w:pPr>
      <w:r>
        <w:rPr>
          <w:rFonts w:hint="eastAsia"/>
        </w:rPr>
        <w:t>当乘客伤亡时，应立即通知120急救中心和事发地电梯监管部门。</w:t>
      </w:r>
    </w:p>
    <w:p>
      <w:pPr>
        <w:pStyle w:val="60"/>
      </w:pPr>
      <w:r>
        <w:rPr>
          <w:rFonts w:hint="eastAsia"/>
        </w:rPr>
        <w:t>电梯突发事件应急处置结束后，应主动向业主公示处置结果和电梯安全状况。</w:t>
      </w:r>
    </w:p>
    <w:p>
      <w:pPr>
        <w:pStyle w:val="39"/>
        <w:spacing w:before="156" w:after="156"/>
      </w:pPr>
      <w:bookmarkStart w:id="92" w:name="_Toc16223"/>
      <w:bookmarkStart w:id="93" w:name="_Toc22057"/>
      <w:bookmarkStart w:id="94" w:name="_Toc15854"/>
      <w:bookmarkStart w:id="95" w:name="_Toc20430"/>
      <w:bookmarkStart w:id="96" w:name="_Toc23537"/>
      <w:r>
        <w:rPr>
          <w:rFonts w:hint="eastAsia"/>
        </w:rPr>
        <w:t>电梯维保单位</w:t>
      </w:r>
      <w:bookmarkEnd w:id="92"/>
      <w:bookmarkEnd w:id="93"/>
      <w:bookmarkEnd w:id="94"/>
      <w:bookmarkEnd w:id="95"/>
      <w:bookmarkEnd w:id="96"/>
    </w:p>
    <w:p>
      <w:pPr>
        <w:pStyle w:val="60"/>
      </w:pPr>
      <w:r>
        <w:rPr>
          <w:rFonts w:hint="eastAsia"/>
        </w:rPr>
        <w:t>应制定电梯突发事件应急处置预案，配备必要的应急处置工具，建立24小时应急响应制度。</w:t>
      </w:r>
    </w:p>
    <w:p>
      <w:pPr>
        <w:pStyle w:val="60"/>
      </w:pPr>
      <w:r>
        <w:rPr>
          <w:rFonts w:hint="eastAsia"/>
        </w:rPr>
        <w:t>应建立电梯突发事件应急处置技术人员档案，每年组织应急处置技术培训不少于2次，每年协助电梯使用单位组织电梯突发事件应急演练不少于1次。</w:t>
      </w:r>
    </w:p>
    <w:p>
      <w:pPr>
        <w:pStyle w:val="60"/>
      </w:pPr>
      <w:r>
        <w:rPr>
          <w:rFonts w:hint="eastAsia"/>
        </w:rPr>
        <w:t>当乘客被困时，应立即派出专业技术人员，并在30分钟内到达现场。</w:t>
      </w:r>
    </w:p>
    <w:p>
      <w:pPr>
        <w:pStyle w:val="60"/>
      </w:pPr>
      <w:r>
        <w:rPr>
          <w:rFonts w:hint="eastAsia"/>
        </w:rPr>
        <w:t>当派出的专业技术人员未到达现场或乘客被困时间超过30分钟时，应立即上报电梯应急处置信息平台。</w:t>
      </w:r>
    </w:p>
    <w:p>
      <w:pPr>
        <w:pStyle w:val="39"/>
        <w:spacing w:before="156" w:after="156"/>
      </w:pPr>
      <w:bookmarkStart w:id="97" w:name="_Toc31800"/>
      <w:bookmarkStart w:id="98" w:name="_Toc21966"/>
      <w:bookmarkStart w:id="99" w:name="_Toc29209"/>
      <w:bookmarkStart w:id="100" w:name="_Toc9038"/>
      <w:bookmarkStart w:id="101" w:name="_Toc27174"/>
      <w:r>
        <w:rPr>
          <w:rFonts w:hint="eastAsia"/>
        </w:rPr>
        <w:t>电梯应急救援站</w:t>
      </w:r>
      <w:bookmarkEnd w:id="97"/>
      <w:bookmarkEnd w:id="98"/>
      <w:bookmarkEnd w:id="99"/>
      <w:bookmarkEnd w:id="100"/>
      <w:bookmarkEnd w:id="101"/>
    </w:p>
    <w:p>
      <w:pPr>
        <w:pStyle w:val="60"/>
      </w:pPr>
      <w:r>
        <w:rPr>
          <w:rFonts w:hint="eastAsia"/>
        </w:rPr>
        <w:t>应向属地电梯监管部门备案，选址由属地电梯监管部门统一布局，站点信息接入电梯应急处置信息平台。</w:t>
      </w:r>
    </w:p>
    <w:p>
      <w:pPr>
        <w:pStyle w:val="60"/>
      </w:pPr>
      <w:r>
        <w:rPr>
          <w:rFonts w:hint="eastAsia"/>
        </w:rPr>
        <w:t>应配备防护装备、检测仪器、应急车辆、通讯装备等救援工具。</w:t>
      </w:r>
    </w:p>
    <w:p>
      <w:pPr>
        <w:pStyle w:val="60"/>
      </w:pPr>
      <w:r>
        <w:rPr>
          <w:rFonts w:hint="eastAsia"/>
        </w:rPr>
        <w:t>应接受电梯应急处置信息平台统一调度，并及时反馈应急处置情况。</w:t>
      </w:r>
    </w:p>
    <w:p>
      <w:pPr>
        <w:pStyle w:val="60"/>
      </w:pPr>
      <w:r>
        <w:rPr>
          <w:rFonts w:hint="eastAsia"/>
        </w:rPr>
        <w:t>当接到应急救援任务时，应立即派出专业救援人员，并在10分钟内到达现场。</w:t>
      </w:r>
    </w:p>
    <w:p>
      <w:pPr>
        <w:pStyle w:val="42"/>
        <w:spacing w:before="312" w:after="312"/>
      </w:pPr>
      <w:bookmarkStart w:id="102" w:name="_Toc26685"/>
      <w:r>
        <w:rPr>
          <w:rFonts w:hint="eastAsia"/>
        </w:rPr>
        <w:t>应急处置人员要求</w:t>
      </w:r>
      <w:bookmarkEnd w:id="102"/>
    </w:p>
    <w:p>
      <w:pPr>
        <w:pStyle w:val="39"/>
        <w:spacing w:before="156" w:after="156"/>
      </w:pPr>
      <w:bookmarkStart w:id="103" w:name="_Toc11229"/>
      <w:bookmarkStart w:id="104" w:name="_Toc32016"/>
      <w:bookmarkStart w:id="105" w:name="_Toc3625"/>
      <w:bookmarkStart w:id="106" w:name="_Toc2226"/>
      <w:bookmarkStart w:id="107" w:name="_Toc31509"/>
      <w:r>
        <w:rPr>
          <w:rFonts w:hint="eastAsia"/>
        </w:rPr>
        <w:t>电梯使用单位安全管理人员</w:t>
      </w:r>
      <w:bookmarkEnd w:id="103"/>
      <w:bookmarkEnd w:id="104"/>
      <w:bookmarkEnd w:id="105"/>
      <w:bookmarkEnd w:id="106"/>
      <w:bookmarkEnd w:id="107"/>
    </w:p>
    <w:p>
      <w:pPr>
        <w:pStyle w:val="22"/>
      </w:pPr>
      <w:r>
        <w:rPr>
          <w:rFonts w:hint="eastAsia"/>
        </w:rPr>
        <w:t>持有特种设备安全管理人员资格证书，掌握本单位电梯安全状况，熟悉电梯突发事件应急处置预案。</w:t>
      </w:r>
    </w:p>
    <w:p>
      <w:pPr>
        <w:pStyle w:val="39"/>
        <w:spacing w:before="156" w:after="156"/>
      </w:pPr>
      <w:bookmarkStart w:id="108" w:name="_Toc5405"/>
      <w:bookmarkStart w:id="109" w:name="_Toc13734"/>
      <w:bookmarkStart w:id="110" w:name="_Toc26881"/>
      <w:bookmarkStart w:id="111" w:name="_Toc7850"/>
      <w:bookmarkStart w:id="112" w:name="_Toc18922"/>
      <w:r>
        <w:rPr>
          <w:rFonts w:hint="eastAsia"/>
        </w:rPr>
        <w:t>电梯应急处置信息平台调度人员</w:t>
      </w:r>
      <w:bookmarkEnd w:id="108"/>
      <w:bookmarkEnd w:id="109"/>
      <w:bookmarkEnd w:id="110"/>
      <w:bookmarkEnd w:id="111"/>
      <w:bookmarkEnd w:id="112"/>
    </w:p>
    <w:p>
      <w:pPr>
        <w:pStyle w:val="22"/>
      </w:pPr>
      <w:r>
        <w:rPr>
          <w:rFonts w:hint="eastAsia"/>
        </w:rPr>
        <w:t>应使用普通话，具备一定的沟通协调能力。熟悉电梯相关法律法规，掌握电梯应急处置流程，能够熟练操作平台各项功能。</w:t>
      </w:r>
    </w:p>
    <w:p>
      <w:pPr>
        <w:pStyle w:val="39"/>
        <w:spacing w:before="156" w:after="156"/>
      </w:pPr>
      <w:bookmarkStart w:id="113" w:name="_Toc12827"/>
      <w:bookmarkStart w:id="114" w:name="_Toc31551"/>
      <w:bookmarkStart w:id="115" w:name="_Toc28243"/>
      <w:bookmarkStart w:id="116" w:name="_Toc25630"/>
      <w:bookmarkStart w:id="117" w:name="_Toc21605"/>
      <w:r>
        <w:rPr>
          <w:rFonts w:hint="eastAsia"/>
        </w:rPr>
        <w:t>现场应急处置技术人员</w:t>
      </w:r>
      <w:bookmarkEnd w:id="113"/>
      <w:bookmarkEnd w:id="114"/>
      <w:bookmarkEnd w:id="115"/>
      <w:bookmarkEnd w:id="116"/>
      <w:bookmarkEnd w:id="117"/>
    </w:p>
    <w:p>
      <w:pPr>
        <w:pStyle w:val="22"/>
      </w:pPr>
      <w:r>
        <w:rPr>
          <w:rFonts w:hint="eastAsia"/>
        </w:rPr>
        <w:t>持有符合条件的特种设备作业人员资格证书，掌握应急处置流程，能识别电梯风险，熟练使用应急处置工具。</w:t>
      </w:r>
    </w:p>
    <w:p>
      <w:pPr>
        <w:pStyle w:val="42"/>
        <w:spacing w:before="312" w:after="312"/>
      </w:pPr>
      <w:bookmarkStart w:id="118" w:name="_Toc21908"/>
      <w:r>
        <w:rPr>
          <w:rFonts w:hint="eastAsia"/>
        </w:rPr>
        <w:t>应急处置流程要求</w:t>
      </w:r>
      <w:bookmarkEnd w:id="118"/>
    </w:p>
    <w:p>
      <w:pPr>
        <w:pStyle w:val="39"/>
        <w:spacing w:before="156" w:after="156"/>
      </w:pPr>
      <w:bookmarkStart w:id="119" w:name="_Toc6593"/>
      <w:bookmarkStart w:id="120" w:name="_Toc21745"/>
      <w:bookmarkStart w:id="121" w:name="_Toc1713"/>
      <w:bookmarkStart w:id="122" w:name="_Toc14417"/>
      <w:bookmarkStart w:id="123" w:name="_Toc17328"/>
      <w:r>
        <w:rPr>
          <w:rFonts w:hint="eastAsia"/>
        </w:rPr>
        <w:t>轿厢困人</w:t>
      </w:r>
      <w:bookmarkEnd w:id="119"/>
      <w:bookmarkEnd w:id="120"/>
    </w:p>
    <w:p>
      <w:pPr>
        <w:pStyle w:val="43"/>
        <w:spacing w:before="156" w:after="156"/>
      </w:pPr>
      <w:bookmarkStart w:id="124" w:name="_Toc15503"/>
      <w:bookmarkStart w:id="125" w:name="_Toc28621"/>
      <w:r>
        <w:rPr>
          <w:rFonts w:hint="eastAsia"/>
        </w:rPr>
        <w:t>安抚被困人员情绪</w:t>
      </w:r>
      <w:bookmarkEnd w:id="124"/>
      <w:bookmarkEnd w:id="125"/>
    </w:p>
    <w:p>
      <w:pPr>
        <w:pStyle w:val="110"/>
      </w:pPr>
      <w:r>
        <w:rPr>
          <w:rFonts w:hint="eastAsia"/>
        </w:rPr>
        <w:t>接警后，电梯应急处置信息平台调度人员应持续安抚被困人员，提醒乘客不要盲目自救。</w:t>
      </w:r>
    </w:p>
    <w:p>
      <w:pPr>
        <w:pStyle w:val="110"/>
      </w:pPr>
      <w:r>
        <w:rPr>
          <w:rFonts w:hint="eastAsia"/>
        </w:rPr>
        <w:t>救援过程中，使用单位应派工作人员现场安抚被困人员情绪，告知救援进展。</w:t>
      </w:r>
    </w:p>
    <w:p>
      <w:pPr>
        <w:pStyle w:val="43"/>
        <w:spacing w:before="156" w:after="156"/>
      </w:pPr>
      <w:bookmarkStart w:id="126" w:name="_Toc11854"/>
      <w:bookmarkStart w:id="127" w:name="_Toc18757"/>
      <w:r>
        <w:rPr>
          <w:rFonts w:hint="eastAsia"/>
        </w:rPr>
        <w:t>判断轿厢位置</w:t>
      </w:r>
      <w:bookmarkEnd w:id="126"/>
      <w:bookmarkEnd w:id="127"/>
    </w:p>
    <w:p>
      <w:pPr>
        <w:pStyle w:val="110"/>
      </w:pPr>
      <w:r>
        <w:rPr>
          <w:rFonts w:hint="eastAsia"/>
        </w:rPr>
        <w:t>现场应急处置技术人员使用专用工具定位电梯轿厢，确定其是否在开门区。</w:t>
      </w:r>
    </w:p>
    <w:p>
      <w:pPr>
        <w:pStyle w:val="110"/>
      </w:pPr>
      <w:r>
        <w:rPr>
          <w:rFonts w:hint="eastAsia"/>
        </w:rPr>
        <w:t>当轿厢不在开门区时，应安全操作将轿厢调整至就近开门区。</w:t>
      </w:r>
    </w:p>
    <w:p>
      <w:pPr>
        <w:pStyle w:val="110"/>
      </w:pPr>
      <w:r>
        <w:rPr>
          <w:rFonts w:hint="eastAsia"/>
        </w:rPr>
        <w:t>当轿厢处于开门区时，方可开展救援。</w:t>
      </w:r>
    </w:p>
    <w:p>
      <w:pPr>
        <w:pStyle w:val="43"/>
        <w:spacing w:before="156" w:after="156"/>
      </w:pPr>
      <w:bookmarkStart w:id="128" w:name="_Toc17294"/>
      <w:bookmarkStart w:id="129" w:name="_Toc14947"/>
      <w:r>
        <w:rPr>
          <w:rFonts w:hint="eastAsia"/>
        </w:rPr>
        <w:t>执行救援操作</w:t>
      </w:r>
      <w:bookmarkEnd w:id="128"/>
      <w:bookmarkEnd w:id="129"/>
    </w:p>
    <w:p>
      <w:pPr>
        <w:pStyle w:val="110"/>
      </w:pPr>
      <w:r>
        <w:rPr>
          <w:rFonts w:hint="eastAsia"/>
        </w:rPr>
        <w:t xml:space="preserve">开启层门前，救援人员应先确认层门口地面是否平整、清洁，防止打滑、摔倒。 </w:t>
      </w:r>
    </w:p>
    <w:p>
      <w:pPr>
        <w:pStyle w:val="110"/>
      </w:pPr>
      <w:r>
        <w:rPr>
          <w:rFonts w:hint="eastAsia"/>
        </w:rPr>
        <w:t>使用层门机械开锁钥匙，打开层门约30mm，再次检查轿厢位置，确认轿厢已进入平层区域。</w:t>
      </w:r>
    </w:p>
    <w:p>
      <w:pPr>
        <w:pStyle w:val="110"/>
      </w:pPr>
      <w:r>
        <w:rPr>
          <w:rFonts w:hint="eastAsia"/>
        </w:rPr>
        <w:t>完全打开层门、轿门，疏导及搀扶被困人员离开轿厢，同时做好安抚工作。</w:t>
      </w:r>
    </w:p>
    <w:p>
      <w:pPr>
        <w:pStyle w:val="110"/>
      </w:pPr>
      <w:r>
        <w:rPr>
          <w:rFonts w:hint="eastAsia"/>
        </w:rPr>
        <w:t>将电梯层门、轿门重新关闭。</w:t>
      </w:r>
    </w:p>
    <w:p>
      <w:pPr>
        <w:pStyle w:val="43"/>
        <w:spacing w:before="156" w:after="156"/>
      </w:pPr>
      <w:bookmarkStart w:id="130" w:name="_Toc6522"/>
      <w:bookmarkStart w:id="131" w:name="_Toc15223"/>
      <w:r>
        <w:rPr>
          <w:rFonts w:hint="eastAsia"/>
        </w:rPr>
        <w:t>医疗评估与救助</w:t>
      </w:r>
      <w:bookmarkEnd w:id="130"/>
      <w:bookmarkEnd w:id="131"/>
    </w:p>
    <w:p>
      <w:pPr>
        <w:pStyle w:val="110"/>
      </w:pPr>
      <w:r>
        <w:rPr>
          <w:rFonts w:hint="eastAsia"/>
        </w:rPr>
        <w:t>被困人员被救出后，使用单位安全管理人员应立即对其进行伤情判断，判断是否需要进一步的医疗救助。</w:t>
      </w:r>
    </w:p>
    <w:p>
      <w:pPr>
        <w:pStyle w:val="110"/>
      </w:pPr>
      <w:r>
        <w:rPr>
          <w:rFonts w:hint="eastAsia"/>
        </w:rPr>
        <w:t>若被困人员有明显受伤或身体不适，使用单位安全管理人员应立即拨打急救电话（120），并采取必要的急救措施。</w:t>
      </w:r>
    </w:p>
    <w:p>
      <w:pPr>
        <w:pStyle w:val="39"/>
        <w:spacing w:before="156" w:after="156"/>
      </w:pPr>
      <w:bookmarkStart w:id="132" w:name="_Toc32480"/>
      <w:bookmarkStart w:id="133" w:name="_Toc11361"/>
      <w:r>
        <w:t>夹持困人</w:t>
      </w:r>
      <w:bookmarkEnd w:id="132"/>
      <w:bookmarkEnd w:id="133"/>
    </w:p>
    <w:p>
      <w:pPr>
        <w:pStyle w:val="43"/>
        <w:spacing w:before="156" w:after="156"/>
      </w:pPr>
      <w:bookmarkStart w:id="134" w:name="_Toc26848"/>
      <w:bookmarkStart w:id="135" w:name="_Toc24732"/>
      <w:r>
        <w:t>安抚</w:t>
      </w:r>
      <w:r>
        <w:rPr>
          <w:rFonts w:hint="eastAsia"/>
        </w:rPr>
        <w:t>被困人员</w:t>
      </w:r>
      <w:r>
        <w:t>情绪</w:t>
      </w:r>
      <w:bookmarkEnd w:id="134"/>
      <w:bookmarkEnd w:id="135"/>
    </w:p>
    <w:p>
      <w:pPr>
        <w:pStyle w:val="110"/>
      </w:pPr>
      <w:r>
        <w:t>使用单位应派工作人员</w:t>
      </w:r>
      <w:r>
        <w:rPr>
          <w:rFonts w:hint="eastAsia"/>
        </w:rPr>
        <w:t>5分钟内赶到事发现场</w:t>
      </w:r>
      <w:r>
        <w:t>，与被困人员进行沟通，安抚情绪，并提醒不要盲目自救。</w:t>
      </w:r>
    </w:p>
    <w:p>
      <w:pPr>
        <w:pStyle w:val="110"/>
      </w:pPr>
      <w:r>
        <w:t>为确保被困人员的隐私和救援过程的顺利进行，现场应急处置技术人员应在事故现场设置隔离区域，封闭自动扶梯或人行道的出入口，防止无关人员进入，并保障被困人员的隐私。</w:t>
      </w:r>
    </w:p>
    <w:p>
      <w:pPr>
        <w:pStyle w:val="43"/>
        <w:spacing w:before="156" w:after="156"/>
      </w:pPr>
      <w:bookmarkStart w:id="136" w:name="_Toc676"/>
      <w:bookmarkStart w:id="137" w:name="_Toc28494"/>
      <w:r>
        <w:t>执行救援操作</w:t>
      </w:r>
      <w:bookmarkEnd w:id="136"/>
      <w:bookmarkEnd w:id="137"/>
    </w:p>
    <w:p>
      <w:pPr>
        <w:pStyle w:val="110"/>
      </w:pPr>
      <w:r>
        <w:t>现场应急处置技术人员应确保自动扶梯或人行道设备保持可靠的制停状态，防止设备在救援过程中意外启动。必要时，使用专用工具或切断电源，确保设备完全停机。</w:t>
      </w:r>
    </w:p>
    <w:p>
      <w:pPr>
        <w:pStyle w:val="110"/>
      </w:pPr>
      <w:r>
        <w:t>现场应急处置技术人员应根据被困人员的夹持部位，使用专用工具（如拆解器具）安全地打开夹持部件，确保在操作过程中不会对被困人员造成进一步伤害。</w:t>
      </w:r>
    </w:p>
    <w:p>
      <w:pPr>
        <w:pStyle w:val="110"/>
      </w:pPr>
      <w:r>
        <w:t>现场应急处置技术人员应选择最安全、最快速的方式，使被困人员的夹持部位脱困。在救援过程中，应持续与被困人员保持沟通，监测其身体状况，确保解救过程中的安全性。</w:t>
      </w:r>
    </w:p>
    <w:p>
      <w:pPr>
        <w:pStyle w:val="43"/>
        <w:spacing w:before="156" w:after="156"/>
      </w:pPr>
      <w:bookmarkStart w:id="138" w:name="_Toc10876"/>
      <w:bookmarkStart w:id="139" w:name="_Toc4294"/>
      <w:r>
        <w:t>医疗评估与救助</w:t>
      </w:r>
      <w:bookmarkEnd w:id="138"/>
      <w:bookmarkEnd w:id="139"/>
    </w:p>
    <w:p>
      <w:pPr>
        <w:pStyle w:val="110"/>
      </w:pPr>
      <w:r>
        <w:rPr>
          <w:rFonts w:hint="eastAsia"/>
        </w:rPr>
        <w:t>救援开始前，应对被困人员进行初步伤情判断，使用单位安全管理人员</w:t>
      </w:r>
      <w:r>
        <w:t>应立即采取紧急医疗救助，如止血、包扎或固定受伤部位，确保被困人员的生命体征在救援过程中保持稳定。</w:t>
      </w:r>
    </w:p>
    <w:p>
      <w:pPr>
        <w:pStyle w:val="110"/>
      </w:pPr>
      <w:r>
        <w:t>被困人员脱困后，</w:t>
      </w:r>
      <w:r>
        <w:rPr>
          <w:rFonts w:hint="eastAsia"/>
        </w:rPr>
        <w:t>使用单位安全管理人员</w:t>
      </w:r>
      <w:r>
        <w:t>应立即对其进行初步伤情评估，特别注意是否有骨折、夹伤或其他严重伤情。</w:t>
      </w:r>
    </w:p>
    <w:p>
      <w:pPr>
        <w:pStyle w:val="110"/>
      </w:pPr>
      <w:r>
        <w:t>若被困人员伤情严重，需立即拨打急救电话（120）并等待专业医护人员的到达。同时，</w:t>
      </w:r>
      <w:r>
        <w:rPr>
          <w:rFonts w:hint="eastAsia"/>
        </w:rPr>
        <w:t>使用单位安全管理人员</w:t>
      </w:r>
      <w:r>
        <w:t>应持续监控被困人员的生命体征，并为后续专业急救提供支持。</w:t>
      </w:r>
    </w:p>
    <w:p>
      <w:pPr>
        <w:pStyle w:val="39"/>
        <w:spacing w:before="156" w:after="156"/>
      </w:pPr>
      <w:bookmarkStart w:id="140" w:name="_Toc14467"/>
      <w:bookmarkStart w:id="141" w:name="_Toc31318"/>
      <w:r>
        <w:t>地震</w:t>
      </w:r>
      <w:bookmarkEnd w:id="140"/>
      <w:bookmarkEnd w:id="141"/>
    </w:p>
    <w:p>
      <w:pPr>
        <w:pStyle w:val="60"/>
      </w:pPr>
      <w:r>
        <w:rPr>
          <w:rFonts w:hint="eastAsia"/>
          <w:lang w:val="en-US" w:eastAsia="zh-CN"/>
        </w:rPr>
        <w:t>地震</w:t>
      </w:r>
      <w:r>
        <w:t>发生时立即停用所有电梯，并警告所有人员不要使用电梯。</w:t>
      </w:r>
    </w:p>
    <w:p>
      <w:pPr>
        <w:pStyle w:val="60"/>
      </w:pPr>
      <w:r>
        <w:t>地震停止后，专业人员检查电梯设备，评估是否存在损坏或安全隐患。</w:t>
      </w:r>
    </w:p>
    <w:p>
      <w:pPr>
        <w:pStyle w:val="60"/>
      </w:pPr>
      <w:r>
        <w:t>如有人员被困</w:t>
      </w:r>
      <w:r>
        <w:rPr>
          <w:rFonts w:hint="eastAsia"/>
        </w:rPr>
        <w:t>轿厢</w:t>
      </w:r>
      <w:r>
        <w:t>，</w:t>
      </w:r>
      <w:r>
        <w:rPr>
          <w:rFonts w:hint="eastAsia"/>
        </w:rPr>
        <w:t>按照9.1开展救援</w:t>
      </w:r>
      <w:r>
        <w:t>。</w:t>
      </w:r>
    </w:p>
    <w:p>
      <w:pPr>
        <w:pStyle w:val="60"/>
      </w:pPr>
      <w:r>
        <w:rPr>
          <w:rFonts w:hint="eastAsia"/>
        </w:rPr>
        <w:t>地震停止后，</w:t>
      </w:r>
      <w:r>
        <w:t>全面检查电梯设备并进行必要维修，确保电梯正常运行。</w:t>
      </w:r>
    </w:p>
    <w:p>
      <w:pPr>
        <w:pStyle w:val="39"/>
        <w:spacing w:before="156" w:after="156"/>
      </w:pPr>
      <w:bookmarkStart w:id="142" w:name="_Toc8460"/>
      <w:bookmarkStart w:id="143" w:name="_Toc23949"/>
      <w:r>
        <w:t>内涝</w:t>
      </w:r>
      <w:bookmarkEnd w:id="142"/>
      <w:bookmarkEnd w:id="143"/>
    </w:p>
    <w:p>
      <w:pPr>
        <w:pStyle w:val="60"/>
      </w:pPr>
      <w:r>
        <w:t>暴雨或洪涝预警时，及时切断电梯电源，防止电气安全事故。</w:t>
      </w:r>
    </w:p>
    <w:p>
      <w:pPr>
        <w:pStyle w:val="60"/>
      </w:pPr>
      <w:r>
        <w:t>在确保安全的前提下，定期检查</w:t>
      </w:r>
      <w:r>
        <w:rPr>
          <w:rFonts w:hint="eastAsia"/>
        </w:rPr>
        <w:t>井道</w:t>
      </w:r>
      <w:r>
        <w:t>是否进水，并及时处理积水。</w:t>
      </w:r>
    </w:p>
    <w:p>
      <w:pPr>
        <w:pStyle w:val="60"/>
      </w:pPr>
      <w:r>
        <w:t>如有人员被困</w:t>
      </w:r>
      <w:r>
        <w:rPr>
          <w:rFonts w:hint="eastAsia"/>
        </w:rPr>
        <w:t>轿厢</w:t>
      </w:r>
      <w:r>
        <w:t>，</w:t>
      </w:r>
      <w:r>
        <w:rPr>
          <w:rFonts w:hint="eastAsia"/>
        </w:rPr>
        <w:t>按照9.1开展救援</w:t>
      </w:r>
      <w:r>
        <w:t>。</w:t>
      </w:r>
    </w:p>
    <w:p>
      <w:pPr>
        <w:pStyle w:val="60"/>
      </w:pPr>
      <w:r>
        <w:rPr>
          <w:rFonts w:hint="eastAsia"/>
        </w:rPr>
        <w:t>内涝</w:t>
      </w:r>
      <w:r>
        <w:t>退去后，全面检查电梯设备并进行必要维修，确保电梯正常运行。</w:t>
      </w:r>
    </w:p>
    <w:bookmarkEnd w:id="121"/>
    <w:bookmarkEnd w:id="122"/>
    <w:bookmarkEnd w:id="123"/>
    <w:p>
      <w:pPr>
        <w:pStyle w:val="42"/>
        <w:spacing w:before="312" w:after="312"/>
      </w:pPr>
      <w:bookmarkStart w:id="144" w:name="_Toc8605"/>
      <w:r>
        <w:rPr>
          <w:rFonts w:hint="eastAsia"/>
        </w:rPr>
        <w:t>川渝地区的联动机制</w:t>
      </w:r>
      <w:bookmarkEnd w:id="144"/>
    </w:p>
    <w:p>
      <w:pPr>
        <w:pStyle w:val="39"/>
        <w:spacing w:before="156" w:after="156"/>
      </w:pPr>
      <w:bookmarkStart w:id="145" w:name="_Toc1417"/>
      <w:bookmarkStart w:id="146" w:name="_Toc22598"/>
      <w:bookmarkStart w:id="147" w:name="_Toc24073"/>
      <w:bookmarkStart w:id="148" w:name="_Toc25212"/>
      <w:bookmarkStart w:id="149" w:name="_Toc25624"/>
      <w:r>
        <w:rPr>
          <w:rFonts w:hint="eastAsia"/>
        </w:rPr>
        <w:t>省际技术交流</w:t>
      </w:r>
      <w:bookmarkEnd w:id="145"/>
      <w:bookmarkEnd w:id="146"/>
      <w:bookmarkEnd w:id="147"/>
      <w:bookmarkEnd w:id="148"/>
      <w:bookmarkEnd w:id="149"/>
    </w:p>
    <w:p>
      <w:pPr>
        <w:pStyle w:val="22"/>
      </w:pPr>
      <w:r>
        <w:rPr>
          <w:rFonts w:hint="eastAsia"/>
        </w:rPr>
        <w:t>川渝地区检验检测机构、生产企业、维保单位等电梯安全相关单位，应加强电梯应急处置技术能力交流，共享电梯应急资源。</w:t>
      </w:r>
    </w:p>
    <w:p>
      <w:pPr>
        <w:pStyle w:val="39"/>
        <w:spacing w:before="156" w:after="156"/>
      </w:pPr>
      <w:bookmarkStart w:id="150" w:name="_Toc6870"/>
      <w:bookmarkStart w:id="151" w:name="_Toc7833"/>
      <w:bookmarkStart w:id="152" w:name="_Toc14358"/>
      <w:bookmarkStart w:id="153" w:name="_Toc5444"/>
      <w:bookmarkStart w:id="154" w:name="_Toc13551"/>
      <w:r>
        <w:rPr>
          <w:rFonts w:hint="eastAsia"/>
        </w:rPr>
        <w:t>毗邻区协同调度</w:t>
      </w:r>
      <w:bookmarkEnd w:id="150"/>
      <w:bookmarkEnd w:id="151"/>
      <w:bookmarkEnd w:id="152"/>
      <w:bookmarkEnd w:id="153"/>
      <w:bookmarkEnd w:id="154"/>
    </w:p>
    <w:p>
      <w:pPr>
        <w:pStyle w:val="22"/>
      </w:pPr>
      <w:r>
        <w:rPr>
          <w:rFonts w:hint="eastAsia"/>
        </w:rPr>
        <w:t>川渝毗邻区电梯信息纳入双方省级应急处置信息平台，实现应急资源跨省调度。</w:t>
      </w:r>
    </w:p>
    <w:p>
      <w:pPr>
        <w:pStyle w:val="39"/>
        <w:spacing w:before="156" w:after="156"/>
      </w:pPr>
      <w:bookmarkStart w:id="155" w:name="_Toc4093"/>
      <w:bookmarkStart w:id="156" w:name="_Toc12201"/>
      <w:bookmarkStart w:id="157" w:name="_Toc20977"/>
      <w:bookmarkStart w:id="158" w:name="_Toc17618"/>
      <w:bookmarkStart w:id="159" w:name="_Toc21375"/>
      <w:r>
        <w:rPr>
          <w:rFonts w:hint="eastAsia"/>
        </w:rPr>
        <w:t>灾害预警信息共享</w:t>
      </w:r>
      <w:bookmarkEnd w:id="155"/>
      <w:bookmarkEnd w:id="156"/>
      <w:bookmarkEnd w:id="157"/>
      <w:bookmarkEnd w:id="158"/>
      <w:bookmarkEnd w:id="159"/>
    </w:p>
    <w:p>
      <w:pPr>
        <w:pStyle w:val="22"/>
      </w:pPr>
      <w:r>
        <w:rPr>
          <w:rFonts w:hint="eastAsia"/>
        </w:rPr>
        <w:t>川渝地区共建电梯地震、暴雨等灾害预警系统，提升区域性电梯突发事件应急处置能力。</w:t>
      </w:r>
    </w:p>
    <w:p>
      <w:pPr>
        <w:pStyle w:val="95"/>
      </w:pPr>
    </w:p>
    <w:p>
      <w:pPr>
        <w:pStyle w:val="83"/>
      </w:pPr>
    </w:p>
    <w:p>
      <w:pPr>
        <w:pStyle w:val="81"/>
      </w:pPr>
      <w:bookmarkStart w:id="160" w:name="_Toc15879"/>
      <w:bookmarkEnd w:id="160"/>
    </w:p>
    <w:p>
      <w:pPr>
        <w:pStyle w:val="82"/>
      </w:pPr>
      <w:r>
        <w:rPr>
          <w:rFonts w:hint="eastAsia"/>
        </w:rPr>
        <w:t>（资料性）</w:t>
      </w:r>
    </w:p>
    <w:p>
      <w:pPr>
        <w:pStyle w:val="82"/>
      </w:pPr>
      <w:r>
        <w:rPr>
          <w:rFonts w:hint="eastAsia"/>
        </w:rPr>
        <w:t>电梯突发事件应急处置记录表</w:t>
      </w:r>
    </w:p>
    <w:p>
      <w:pPr>
        <w:pStyle w:val="22"/>
        <w:ind w:firstLine="0" w:firstLineChars="0"/>
      </w:pPr>
    </w:p>
    <w:tbl>
      <w:tblPr>
        <w:tblStyle w:val="140"/>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391"/>
        <w:gridCol w:w="3774"/>
        <w:gridCol w:w="974"/>
        <w:gridCol w:w="2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22" w:type="dxa"/>
            <w:vAlign w:val="center"/>
          </w:tcPr>
          <w:p>
            <w:pPr>
              <w:pStyle w:val="139"/>
              <w:jc w:val="center"/>
              <w:rPr>
                <w:rFonts w:hint="eastAsia"/>
              </w:rPr>
            </w:pPr>
            <w:r>
              <w:rPr>
                <w:spacing w:val="-5"/>
              </w:rPr>
              <w:t>电梯使用单位</w:t>
            </w:r>
          </w:p>
        </w:tc>
        <w:tc>
          <w:tcPr>
            <w:tcW w:w="5165" w:type="dxa"/>
            <w:gridSpan w:val="2"/>
          </w:tcPr>
          <w:p>
            <w:pPr>
              <w:rPr>
                <w:rFonts w:ascii="Arial"/>
              </w:rPr>
            </w:pPr>
          </w:p>
        </w:tc>
        <w:tc>
          <w:tcPr>
            <w:tcW w:w="974" w:type="dxa"/>
            <w:vAlign w:val="center"/>
          </w:tcPr>
          <w:p>
            <w:pPr>
              <w:pStyle w:val="139"/>
              <w:jc w:val="center"/>
              <w:rPr>
                <w:rFonts w:hint="eastAsia"/>
              </w:rPr>
            </w:pPr>
            <w:r>
              <w:rPr>
                <w:spacing w:val="-8"/>
              </w:rPr>
              <w:t>内部编号</w:t>
            </w:r>
          </w:p>
        </w:tc>
        <w:tc>
          <w:tcPr>
            <w:tcW w:w="201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2" w:type="dxa"/>
            <w:vAlign w:val="center"/>
          </w:tcPr>
          <w:p>
            <w:pPr>
              <w:pStyle w:val="139"/>
              <w:jc w:val="center"/>
              <w:rPr>
                <w:rFonts w:hint="eastAsia"/>
              </w:rPr>
            </w:pPr>
            <w:r>
              <w:rPr>
                <w:spacing w:val="-5"/>
              </w:rPr>
              <w:t>电梯使用地址</w:t>
            </w:r>
          </w:p>
        </w:tc>
        <w:tc>
          <w:tcPr>
            <w:tcW w:w="5165" w:type="dxa"/>
            <w:gridSpan w:val="2"/>
          </w:tcPr>
          <w:p>
            <w:pPr>
              <w:rPr>
                <w:rFonts w:ascii="Arial"/>
              </w:rPr>
            </w:pPr>
          </w:p>
        </w:tc>
        <w:tc>
          <w:tcPr>
            <w:tcW w:w="974" w:type="dxa"/>
            <w:vAlign w:val="center"/>
          </w:tcPr>
          <w:p>
            <w:pPr>
              <w:pStyle w:val="139"/>
              <w:jc w:val="center"/>
              <w:rPr>
                <w:rFonts w:hint="eastAsia"/>
              </w:rPr>
            </w:pPr>
            <w:r>
              <w:rPr>
                <w:spacing w:val="-2"/>
              </w:rPr>
              <w:t>使用场所</w:t>
            </w:r>
          </w:p>
        </w:tc>
        <w:tc>
          <w:tcPr>
            <w:tcW w:w="201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2" w:type="dxa"/>
            <w:vAlign w:val="center"/>
          </w:tcPr>
          <w:p>
            <w:pPr>
              <w:pStyle w:val="139"/>
              <w:jc w:val="center"/>
              <w:rPr>
                <w:rFonts w:hint="eastAsia"/>
              </w:rPr>
            </w:pPr>
            <w:r>
              <w:rPr>
                <w:spacing w:val="-5"/>
              </w:rPr>
              <w:t>电梯维保单位</w:t>
            </w:r>
          </w:p>
        </w:tc>
        <w:tc>
          <w:tcPr>
            <w:tcW w:w="5165" w:type="dxa"/>
            <w:gridSpan w:val="2"/>
          </w:tcPr>
          <w:p>
            <w:pPr>
              <w:rPr>
                <w:rFonts w:ascii="Arial"/>
              </w:rPr>
            </w:pPr>
          </w:p>
        </w:tc>
        <w:tc>
          <w:tcPr>
            <w:tcW w:w="974" w:type="dxa"/>
            <w:vAlign w:val="center"/>
          </w:tcPr>
          <w:p>
            <w:pPr>
              <w:pStyle w:val="139"/>
              <w:jc w:val="center"/>
              <w:rPr>
                <w:rFonts w:hint="eastAsia"/>
              </w:rPr>
            </w:pPr>
            <w:r>
              <w:rPr>
                <w:spacing w:val="-8"/>
              </w:rPr>
              <w:t>电梯品种</w:t>
            </w:r>
          </w:p>
        </w:tc>
        <w:tc>
          <w:tcPr>
            <w:tcW w:w="201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2" w:type="dxa"/>
            <w:vAlign w:val="center"/>
          </w:tcPr>
          <w:p>
            <w:pPr>
              <w:pStyle w:val="139"/>
              <w:jc w:val="center"/>
              <w:rPr>
                <w:rFonts w:hint="eastAsia"/>
              </w:rPr>
            </w:pPr>
            <w:r>
              <w:rPr>
                <w:spacing w:val="-5"/>
              </w:rPr>
              <w:t>电梯制造单位</w:t>
            </w:r>
          </w:p>
        </w:tc>
        <w:tc>
          <w:tcPr>
            <w:tcW w:w="5165" w:type="dxa"/>
            <w:gridSpan w:val="2"/>
          </w:tcPr>
          <w:p>
            <w:pPr>
              <w:rPr>
                <w:rFonts w:ascii="Arial"/>
              </w:rPr>
            </w:pPr>
          </w:p>
        </w:tc>
        <w:tc>
          <w:tcPr>
            <w:tcW w:w="974" w:type="dxa"/>
            <w:vAlign w:val="center"/>
          </w:tcPr>
          <w:p>
            <w:pPr>
              <w:pStyle w:val="139"/>
              <w:jc w:val="center"/>
              <w:rPr>
                <w:rFonts w:hint="eastAsia"/>
              </w:rPr>
            </w:pPr>
            <w:r>
              <w:rPr>
                <w:spacing w:val="-8"/>
              </w:rPr>
              <w:t>电梯型号</w:t>
            </w:r>
          </w:p>
        </w:tc>
        <w:tc>
          <w:tcPr>
            <w:tcW w:w="201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2" w:type="dxa"/>
            <w:vAlign w:val="center"/>
          </w:tcPr>
          <w:p>
            <w:pPr>
              <w:pStyle w:val="139"/>
              <w:jc w:val="center"/>
              <w:rPr>
                <w:rFonts w:hint="eastAsia"/>
              </w:rPr>
            </w:pPr>
            <w:r>
              <w:rPr>
                <w:spacing w:val="-2"/>
              </w:rPr>
              <w:t>设备注册代码</w:t>
            </w:r>
          </w:p>
        </w:tc>
        <w:tc>
          <w:tcPr>
            <w:tcW w:w="5165" w:type="dxa"/>
            <w:gridSpan w:val="2"/>
          </w:tcPr>
          <w:p>
            <w:pPr>
              <w:rPr>
                <w:rFonts w:ascii="Arial"/>
              </w:rPr>
            </w:pPr>
          </w:p>
        </w:tc>
        <w:tc>
          <w:tcPr>
            <w:tcW w:w="974" w:type="dxa"/>
            <w:vAlign w:val="center"/>
          </w:tcPr>
          <w:p>
            <w:pPr>
              <w:pStyle w:val="139"/>
              <w:jc w:val="center"/>
              <w:rPr>
                <w:rFonts w:hint="eastAsia"/>
              </w:rPr>
            </w:pPr>
            <w:r>
              <w:rPr>
                <w:spacing w:val="-6"/>
              </w:rPr>
              <w:t>出厂编号</w:t>
            </w:r>
          </w:p>
        </w:tc>
        <w:tc>
          <w:tcPr>
            <w:tcW w:w="201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422" w:type="dxa"/>
            <w:vMerge w:val="restart"/>
            <w:vAlign w:val="center"/>
          </w:tcPr>
          <w:p>
            <w:pPr>
              <w:pStyle w:val="139"/>
              <w:spacing w:before="59" w:line="221" w:lineRule="auto"/>
              <w:jc w:val="center"/>
              <w:rPr>
                <w:rFonts w:hint="eastAsia"/>
                <w:lang w:eastAsia="zh-CN"/>
              </w:rPr>
            </w:pPr>
            <w:r>
              <w:rPr>
                <w:rFonts w:hint="eastAsia"/>
                <w:lang w:eastAsia="zh-CN"/>
              </w:rPr>
              <w:t>应急处置时间</w:t>
            </w:r>
          </w:p>
        </w:tc>
        <w:tc>
          <w:tcPr>
            <w:tcW w:w="1391" w:type="dxa"/>
            <w:vAlign w:val="center"/>
          </w:tcPr>
          <w:p>
            <w:pPr>
              <w:pStyle w:val="139"/>
              <w:jc w:val="center"/>
              <w:rPr>
                <w:rFonts w:hint="eastAsia"/>
                <w:lang w:eastAsia="zh-CN"/>
              </w:rPr>
            </w:pPr>
            <w:r>
              <w:rPr>
                <w:rFonts w:hint="eastAsia"/>
                <w:lang w:eastAsia="zh-CN"/>
              </w:rPr>
              <w:t>事件发生时间</w:t>
            </w:r>
          </w:p>
        </w:tc>
        <w:tc>
          <w:tcPr>
            <w:tcW w:w="3774" w:type="dxa"/>
            <w:vAlign w:val="center"/>
          </w:tcPr>
          <w:p>
            <w:pPr>
              <w:pStyle w:val="139"/>
              <w:jc w:val="right"/>
              <w:rPr>
                <w:rFonts w:hint="eastAsia"/>
              </w:rPr>
            </w:pPr>
            <w:r>
              <w:rPr>
                <w:spacing w:val="-5"/>
              </w:rPr>
              <w:t xml:space="preserve">   </w:t>
            </w:r>
            <w:r>
              <w:rPr>
                <w:rFonts w:hint="eastAsia"/>
                <w:spacing w:val="-5"/>
                <w:lang w:eastAsia="zh-CN"/>
              </w:rPr>
              <w:t xml:space="preserve">          </w:t>
            </w:r>
            <w:r>
              <w:rPr>
                <w:spacing w:val="-5"/>
              </w:rPr>
              <w:t>年</w:t>
            </w:r>
            <w:r>
              <w:rPr>
                <w:spacing w:val="6"/>
              </w:rPr>
              <w:t xml:space="preserve"> </w:t>
            </w:r>
            <w:r>
              <w:rPr>
                <w:rFonts w:hint="eastAsia"/>
                <w:spacing w:val="6"/>
                <w:lang w:eastAsia="zh-CN"/>
              </w:rPr>
              <w:t xml:space="preserve"> </w:t>
            </w:r>
            <w:r>
              <w:rPr>
                <w:spacing w:val="6"/>
              </w:rPr>
              <w:t xml:space="preserve"> </w:t>
            </w:r>
            <w:r>
              <w:rPr>
                <w:spacing w:val="-5"/>
              </w:rPr>
              <w:t>月</w:t>
            </w:r>
            <w:r>
              <w:rPr>
                <w:spacing w:val="19"/>
              </w:rPr>
              <w:t xml:space="preserve"> </w:t>
            </w:r>
            <w:r>
              <w:rPr>
                <w:rFonts w:hint="eastAsia"/>
                <w:spacing w:val="19"/>
                <w:lang w:eastAsia="zh-CN"/>
              </w:rPr>
              <w:t xml:space="preserve"> </w:t>
            </w:r>
            <w:r>
              <w:rPr>
                <w:spacing w:val="19"/>
              </w:rPr>
              <w:t xml:space="preserve"> </w:t>
            </w:r>
            <w:r>
              <w:rPr>
                <w:spacing w:val="-5"/>
              </w:rPr>
              <w:t>日</w:t>
            </w:r>
            <w:r>
              <w:rPr>
                <w:spacing w:val="5"/>
              </w:rPr>
              <w:t xml:space="preserve"> </w:t>
            </w:r>
            <w:r>
              <w:rPr>
                <w:rFonts w:hint="eastAsia"/>
                <w:spacing w:val="5"/>
                <w:lang w:eastAsia="zh-CN"/>
              </w:rPr>
              <w:t xml:space="preserve"> </w:t>
            </w:r>
            <w:r>
              <w:rPr>
                <w:spacing w:val="5"/>
              </w:rPr>
              <w:t xml:space="preserve">  </w:t>
            </w:r>
            <w:r>
              <w:rPr>
                <w:spacing w:val="-5"/>
              </w:rPr>
              <w:t>时</w:t>
            </w:r>
            <w:r>
              <w:rPr>
                <w:spacing w:val="3"/>
              </w:rPr>
              <w:t xml:space="preserve"> </w:t>
            </w:r>
            <w:r>
              <w:rPr>
                <w:rFonts w:hint="eastAsia"/>
                <w:spacing w:val="3"/>
                <w:lang w:eastAsia="zh-CN"/>
              </w:rPr>
              <w:t xml:space="preserve"> </w:t>
            </w:r>
            <w:r>
              <w:rPr>
                <w:spacing w:val="3"/>
              </w:rPr>
              <w:t xml:space="preserve">  </w:t>
            </w:r>
            <w:r>
              <w:rPr>
                <w:spacing w:val="-5"/>
              </w:rPr>
              <w:t>分</w:t>
            </w:r>
          </w:p>
        </w:tc>
        <w:tc>
          <w:tcPr>
            <w:tcW w:w="974" w:type="dxa"/>
            <w:vMerge w:val="restart"/>
            <w:vAlign w:val="center"/>
          </w:tcPr>
          <w:p>
            <w:pPr>
              <w:pStyle w:val="139"/>
              <w:jc w:val="center"/>
              <w:rPr>
                <w:rFonts w:hint="eastAsia"/>
              </w:rPr>
            </w:pPr>
            <w:r>
              <w:rPr>
                <w:spacing w:val="-3"/>
              </w:rPr>
              <w:t>是否困人</w:t>
            </w:r>
          </w:p>
        </w:tc>
        <w:tc>
          <w:tcPr>
            <w:tcW w:w="2013" w:type="dxa"/>
            <w:vMerge w:val="restart"/>
            <w:vAlign w:val="center"/>
          </w:tcPr>
          <w:p>
            <w:pPr>
              <w:pStyle w:val="139"/>
              <w:spacing w:before="59"/>
              <w:ind w:firstLine="150" w:firstLineChars="100"/>
              <w:rPr>
                <w:rFonts w:hint="eastAsia"/>
              </w:rPr>
            </w:pPr>
            <w:r>
              <w:rPr>
                <w:rFonts w:ascii="Wingdings" w:hAnsi="Wingdings" w:eastAsia="Wingdings" w:cs="Wingdings"/>
                <w:spacing w:val="-15"/>
              </w:rPr>
              <w:t></w:t>
            </w:r>
            <w:r>
              <w:rPr>
                <w:rFonts w:ascii="Wingdings" w:hAnsi="Wingdings" w:eastAsia="Wingdings" w:cs="Wingdings"/>
                <w:spacing w:val="-62"/>
              </w:rPr>
              <w:t xml:space="preserve"> </w:t>
            </w:r>
            <w:r>
              <w:rPr>
                <w:spacing w:val="-15"/>
              </w:rPr>
              <w:t>否；</w:t>
            </w:r>
          </w:p>
          <w:p>
            <w:pPr>
              <w:pStyle w:val="139"/>
              <w:spacing w:before="234" w:line="242" w:lineRule="auto"/>
              <w:ind w:firstLine="160" w:firstLineChars="100"/>
              <w:rPr>
                <w:rFonts w:hint="eastAsia"/>
              </w:rPr>
            </w:pPr>
            <w:r>
              <w:rPr>
                <w:rFonts w:ascii="Wingdings" w:hAnsi="Wingdings" w:eastAsia="Wingdings" w:cs="Wingdings"/>
                <w:spacing w:val="-10"/>
              </w:rPr>
              <w:t></w:t>
            </w:r>
            <w:r>
              <w:rPr>
                <w:rFonts w:ascii="Wingdings" w:hAnsi="Wingdings" w:eastAsia="Wingdings" w:cs="Wingdings"/>
                <w:spacing w:val="-66"/>
              </w:rPr>
              <w:t xml:space="preserve"> </w:t>
            </w:r>
            <w:r>
              <w:rPr>
                <w:spacing w:val="-10"/>
              </w:rPr>
              <w:t>是，</w:t>
            </w:r>
            <w:r>
              <w:rPr>
                <w:u w:val="single"/>
              </w:rPr>
              <w:t xml:space="preserve">    </w:t>
            </w:r>
            <w:r>
              <w:rPr>
                <w:spacing w:val="-81"/>
              </w:rPr>
              <w:t xml:space="preserve"> </w:t>
            </w:r>
            <w:r>
              <w:rPr>
                <w:spacing w:val="-10"/>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422" w:type="dxa"/>
            <w:vMerge w:val="continue"/>
          </w:tcPr>
          <w:p>
            <w:pPr>
              <w:pStyle w:val="139"/>
              <w:spacing w:before="254" w:line="219" w:lineRule="auto"/>
              <w:rPr>
                <w:rFonts w:hint="eastAsia"/>
              </w:rPr>
            </w:pPr>
          </w:p>
        </w:tc>
        <w:tc>
          <w:tcPr>
            <w:tcW w:w="1391" w:type="dxa"/>
            <w:vAlign w:val="center"/>
          </w:tcPr>
          <w:p>
            <w:pPr>
              <w:pStyle w:val="139"/>
              <w:jc w:val="center"/>
              <w:rPr>
                <w:rFonts w:hint="eastAsia"/>
                <w:lang w:eastAsia="zh-CN"/>
              </w:rPr>
            </w:pPr>
            <w:r>
              <w:rPr>
                <w:rFonts w:hint="eastAsia"/>
                <w:lang w:eastAsia="zh-CN"/>
              </w:rPr>
              <w:t>处置开始时间</w:t>
            </w:r>
          </w:p>
        </w:tc>
        <w:tc>
          <w:tcPr>
            <w:tcW w:w="3774" w:type="dxa"/>
            <w:vAlign w:val="center"/>
          </w:tcPr>
          <w:p>
            <w:pPr>
              <w:pStyle w:val="139"/>
              <w:jc w:val="right"/>
              <w:rPr>
                <w:rFonts w:hint="eastAsia"/>
              </w:rPr>
            </w:pPr>
            <w:r>
              <w:rPr>
                <w:spacing w:val="-5"/>
              </w:rPr>
              <w:t xml:space="preserve">  </w:t>
            </w:r>
            <w:r>
              <w:rPr>
                <w:rFonts w:hint="eastAsia"/>
                <w:spacing w:val="-5"/>
                <w:lang w:eastAsia="zh-CN"/>
              </w:rPr>
              <w:t xml:space="preserve">           </w:t>
            </w:r>
            <w:r>
              <w:rPr>
                <w:spacing w:val="-5"/>
              </w:rPr>
              <w:t>年</w:t>
            </w:r>
            <w:r>
              <w:rPr>
                <w:spacing w:val="6"/>
              </w:rPr>
              <w:t xml:space="preserve"> </w:t>
            </w:r>
            <w:r>
              <w:rPr>
                <w:rFonts w:hint="eastAsia"/>
                <w:spacing w:val="6"/>
                <w:lang w:eastAsia="zh-CN"/>
              </w:rPr>
              <w:t xml:space="preserve"> </w:t>
            </w:r>
            <w:r>
              <w:rPr>
                <w:spacing w:val="6"/>
              </w:rPr>
              <w:t xml:space="preserve"> </w:t>
            </w:r>
            <w:r>
              <w:rPr>
                <w:spacing w:val="-5"/>
              </w:rPr>
              <w:t>月</w:t>
            </w:r>
            <w:r>
              <w:rPr>
                <w:spacing w:val="19"/>
              </w:rPr>
              <w:t xml:space="preserve"> </w:t>
            </w:r>
            <w:r>
              <w:rPr>
                <w:rFonts w:hint="eastAsia"/>
                <w:spacing w:val="19"/>
                <w:lang w:eastAsia="zh-CN"/>
              </w:rPr>
              <w:t xml:space="preserve"> </w:t>
            </w:r>
            <w:r>
              <w:rPr>
                <w:spacing w:val="19"/>
              </w:rPr>
              <w:t xml:space="preserve"> </w:t>
            </w:r>
            <w:r>
              <w:rPr>
                <w:spacing w:val="-5"/>
              </w:rPr>
              <w:t>日</w:t>
            </w:r>
            <w:r>
              <w:rPr>
                <w:spacing w:val="5"/>
              </w:rPr>
              <w:t xml:space="preserve"> </w:t>
            </w:r>
            <w:r>
              <w:rPr>
                <w:rFonts w:hint="eastAsia"/>
                <w:spacing w:val="5"/>
                <w:lang w:eastAsia="zh-CN"/>
              </w:rPr>
              <w:t xml:space="preserve"> </w:t>
            </w:r>
            <w:r>
              <w:rPr>
                <w:spacing w:val="5"/>
              </w:rPr>
              <w:t xml:space="preserve">  </w:t>
            </w:r>
            <w:r>
              <w:rPr>
                <w:spacing w:val="-5"/>
              </w:rPr>
              <w:t>时</w:t>
            </w:r>
            <w:r>
              <w:rPr>
                <w:spacing w:val="3"/>
              </w:rPr>
              <w:t xml:space="preserve"> </w:t>
            </w:r>
            <w:r>
              <w:rPr>
                <w:rFonts w:hint="eastAsia"/>
                <w:spacing w:val="3"/>
                <w:lang w:eastAsia="zh-CN"/>
              </w:rPr>
              <w:t xml:space="preserve"> </w:t>
            </w:r>
            <w:r>
              <w:rPr>
                <w:spacing w:val="3"/>
              </w:rPr>
              <w:t xml:space="preserve">  </w:t>
            </w:r>
            <w:r>
              <w:rPr>
                <w:spacing w:val="-5"/>
              </w:rPr>
              <w:t>分</w:t>
            </w:r>
          </w:p>
        </w:tc>
        <w:tc>
          <w:tcPr>
            <w:tcW w:w="974" w:type="dxa"/>
            <w:vMerge w:val="continue"/>
          </w:tcPr>
          <w:p>
            <w:pPr>
              <w:pStyle w:val="139"/>
              <w:spacing w:before="254" w:line="219" w:lineRule="auto"/>
              <w:rPr>
                <w:rFonts w:hint="eastAsia"/>
              </w:rPr>
            </w:pPr>
          </w:p>
        </w:tc>
        <w:tc>
          <w:tcPr>
            <w:tcW w:w="2013" w:type="dxa"/>
            <w:vMerge w:val="continue"/>
          </w:tcPr>
          <w:p>
            <w:pPr>
              <w:pStyle w:val="139"/>
              <w:spacing w:before="254" w:line="219" w:lineRule="auto"/>
              <w:rPr>
                <w:rFonts w:hint="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422" w:type="dxa"/>
            <w:vMerge w:val="continue"/>
          </w:tcPr>
          <w:p>
            <w:pPr>
              <w:pStyle w:val="139"/>
              <w:spacing w:before="254" w:line="219" w:lineRule="auto"/>
              <w:rPr>
                <w:rFonts w:hint="eastAsia"/>
              </w:rPr>
            </w:pPr>
          </w:p>
        </w:tc>
        <w:tc>
          <w:tcPr>
            <w:tcW w:w="1391" w:type="dxa"/>
            <w:vAlign w:val="center"/>
          </w:tcPr>
          <w:p>
            <w:pPr>
              <w:pStyle w:val="139"/>
              <w:jc w:val="center"/>
              <w:rPr>
                <w:rFonts w:hint="eastAsia"/>
                <w:lang w:eastAsia="zh-CN"/>
              </w:rPr>
            </w:pPr>
            <w:r>
              <w:rPr>
                <w:rFonts w:hint="eastAsia"/>
                <w:lang w:eastAsia="zh-CN"/>
              </w:rPr>
              <w:t>处置结束时间</w:t>
            </w:r>
          </w:p>
        </w:tc>
        <w:tc>
          <w:tcPr>
            <w:tcW w:w="3774" w:type="dxa"/>
            <w:vAlign w:val="center"/>
          </w:tcPr>
          <w:p>
            <w:pPr>
              <w:pStyle w:val="139"/>
              <w:jc w:val="right"/>
              <w:rPr>
                <w:rFonts w:hint="eastAsia"/>
              </w:rPr>
            </w:pPr>
            <w:r>
              <w:rPr>
                <w:spacing w:val="-5"/>
              </w:rPr>
              <w:t xml:space="preserve">  </w:t>
            </w:r>
            <w:r>
              <w:rPr>
                <w:rFonts w:hint="eastAsia"/>
                <w:spacing w:val="-5"/>
                <w:lang w:eastAsia="zh-CN"/>
              </w:rPr>
              <w:t xml:space="preserve">           </w:t>
            </w:r>
            <w:r>
              <w:rPr>
                <w:spacing w:val="-5"/>
              </w:rPr>
              <w:t>年</w:t>
            </w:r>
            <w:r>
              <w:rPr>
                <w:spacing w:val="6"/>
              </w:rPr>
              <w:t xml:space="preserve"> </w:t>
            </w:r>
            <w:r>
              <w:rPr>
                <w:rFonts w:hint="eastAsia"/>
                <w:spacing w:val="6"/>
                <w:lang w:eastAsia="zh-CN"/>
              </w:rPr>
              <w:t xml:space="preserve"> </w:t>
            </w:r>
            <w:r>
              <w:rPr>
                <w:spacing w:val="6"/>
              </w:rPr>
              <w:t xml:space="preserve"> </w:t>
            </w:r>
            <w:r>
              <w:rPr>
                <w:spacing w:val="-5"/>
              </w:rPr>
              <w:t>月</w:t>
            </w:r>
            <w:r>
              <w:rPr>
                <w:spacing w:val="19"/>
              </w:rPr>
              <w:t xml:space="preserve"> </w:t>
            </w:r>
            <w:r>
              <w:rPr>
                <w:rFonts w:hint="eastAsia"/>
                <w:spacing w:val="19"/>
                <w:lang w:eastAsia="zh-CN"/>
              </w:rPr>
              <w:t xml:space="preserve"> </w:t>
            </w:r>
            <w:r>
              <w:rPr>
                <w:spacing w:val="19"/>
              </w:rPr>
              <w:t xml:space="preserve"> </w:t>
            </w:r>
            <w:r>
              <w:rPr>
                <w:spacing w:val="-5"/>
              </w:rPr>
              <w:t>日</w:t>
            </w:r>
            <w:r>
              <w:rPr>
                <w:spacing w:val="5"/>
              </w:rPr>
              <w:t xml:space="preserve"> </w:t>
            </w:r>
            <w:r>
              <w:rPr>
                <w:rFonts w:hint="eastAsia"/>
                <w:spacing w:val="5"/>
                <w:lang w:eastAsia="zh-CN"/>
              </w:rPr>
              <w:t xml:space="preserve"> </w:t>
            </w:r>
            <w:r>
              <w:rPr>
                <w:spacing w:val="5"/>
              </w:rPr>
              <w:t xml:space="preserve">  </w:t>
            </w:r>
            <w:r>
              <w:rPr>
                <w:spacing w:val="-5"/>
              </w:rPr>
              <w:t>时</w:t>
            </w:r>
            <w:r>
              <w:rPr>
                <w:spacing w:val="3"/>
              </w:rPr>
              <w:t xml:space="preserve"> </w:t>
            </w:r>
            <w:r>
              <w:rPr>
                <w:rFonts w:hint="eastAsia"/>
                <w:spacing w:val="3"/>
                <w:lang w:eastAsia="zh-CN"/>
              </w:rPr>
              <w:t xml:space="preserve"> </w:t>
            </w:r>
            <w:r>
              <w:rPr>
                <w:spacing w:val="3"/>
              </w:rPr>
              <w:t xml:space="preserve">  </w:t>
            </w:r>
            <w:r>
              <w:rPr>
                <w:spacing w:val="-5"/>
              </w:rPr>
              <w:t>分</w:t>
            </w:r>
          </w:p>
        </w:tc>
        <w:tc>
          <w:tcPr>
            <w:tcW w:w="974" w:type="dxa"/>
            <w:vMerge w:val="continue"/>
          </w:tcPr>
          <w:p>
            <w:pPr>
              <w:pStyle w:val="139"/>
              <w:spacing w:before="254" w:line="219" w:lineRule="auto"/>
              <w:rPr>
                <w:rFonts w:hint="eastAsia"/>
              </w:rPr>
            </w:pPr>
          </w:p>
        </w:tc>
        <w:tc>
          <w:tcPr>
            <w:tcW w:w="2013" w:type="dxa"/>
            <w:vMerge w:val="continue"/>
          </w:tcPr>
          <w:p>
            <w:pPr>
              <w:pStyle w:val="139"/>
              <w:spacing w:before="254" w:line="219" w:lineRule="auto"/>
              <w:rPr>
                <w:rFonts w:hint="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1422" w:type="dxa"/>
            <w:vAlign w:val="center"/>
          </w:tcPr>
          <w:p>
            <w:pPr>
              <w:pStyle w:val="139"/>
              <w:spacing w:before="58"/>
              <w:jc w:val="center"/>
              <w:rPr>
                <w:rFonts w:hint="eastAsia"/>
                <w:lang w:eastAsia="zh-CN"/>
              </w:rPr>
            </w:pPr>
            <w:r>
              <w:rPr>
                <w:rFonts w:hint="eastAsia"/>
                <w:lang w:eastAsia="zh-CN"/>
              </w:rPr>
              <w:t>应急处置情况</w:t>
            </w:r>
          </w:p>
        </w:tc>
        <w:tc>
          <w:tcPr>
            <w:tcW w:w="8152" w:type="dxa"/>
            <w:gridSpan w:val="4"/>
          </w:tcPr>
          <w:p>
            <w:pPr>
              <w:rPr>
                <w:rFonts w:ascii="Arial"/>
              </w:rPr>
            </w:pPr>
            <w:r>
              <w:rPr>
                <w:rFonts w:hint="eastAsia"/>
                <w:sz w:val="20"/>
                <w:szCs w:val="22"/>
              </w:rPr>
              <w:t>（包括突发事件简要经过、已经造成或者可能造成的伤亡人数、初步判断的事故原因、已经采取的措施等）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422" w:type="dxa"/>
            <w:vAlign w:val="center"/>
          </w:tcPr>
          <w:p>
            <w:pPr>
              <w:pStyle w:val="139"/>
              <w:jc w:val="center"/>
              <w:rPr>
                <w:rFonts w:hint="eastAsia"/>
              </w:rPr>
            </w:pPr>
            <w:r>
              <w:rPr>
                <w:spacing w:val="-2"/>
              </w:rPr>
              <w:t>人员伤亡情况</w:t>
            </w:r>
          </w:p>
        </w:tc>
        <w:tc>
          <w:tcPr>
            <w:tcW w:w="8152" w:type="dxa"/>
            <w:gridSpan w:val="4"/>
            <w:vAlign w:val="center"/>
          </w:tcPr>
          <w:p>
            <w:pPr>
              <w:pStyle w:val="139"/>
              <w:ind w:firstLine="168" w:firstLineChars="100"/>
              <w:rPr>
                <w:rFonts w:hint="eastAsia"/>
                <w:lang w:eastAsia="zh-CN"/>
              </w:rPr>
            </w:pPr>
            <w:r>
              <w:rPr>
                <w:rFonts w:ascii="Wingdings" w:hAnsi="Wingdings" w:eastAsia="Wingdings" w:cs="Wingdings"/>
                <w:spacing w:val="-6"/>
                <w:lang w:eastAsia="zh-CN"/>
              </w:rPr>
              <w:t></w:t>
            </w:r>
            <w:r>
              <w:rPr>
                <w:rFonts w:ascii="Wingdings" w:hAnsi="Wingdings" w:eastAsia="Wingdings" w:cs="Wingdings"/>
                <w:spacing w:val="-65"/>
                <w:lang w:eastAsia="zh-CN"/>
              </w:rPr>
              <w:t xml:space="preserve"> </w:t>
            </w:r>
            <w:r>
              <w:rPr>
                <w:spacing w:val="-6"/>
                <w:lang w:eastAsia="zh-CN"/>
              </w:rPr>
              <w:t>无人员伤亡；</w:t>
            </w:r>
          </w:p>
          <w:p>
            <w:pPr>
              <w:pStyle w:val="139"/>
              <w:ind w:firstLine="174" w:firstLineChars="100"/>
              <w:rPr>
                <w:rFonts w:hint="eastAsia"/>
                <w:lang w:eastAsia="zh-CN"/>
              </w:rPr>
            </w:pPr>
            <w:r>
              <w:rPr>
                <w:rFonts w:ascii="Wingdings" w:hAnsi="Wingdings" w:eastAsia="Wingdings" w:cs="Wingdings"/>
                <w:spacing w:val="-3"/>
                <w:lang w:eastAsia="zh-CN"/>
              </w:rPr>
              <w:t></w:t>
            </w:r>
            <w:r>
              <w:rPr>
                <w:rFonts w:ascii="Wingdings" w:hAnsi="Wingdings" w:eastAsia="Wingdings" w:cs="Wingdings"/>
                <w:spacing w:val="-67"/>
                <w:lang w:eastAsia="zh-CN"/>
              </w:rPr>
              <w:t xml:space="preserve"> </w:t>
            </w:r>
            <w:r>
              <w:rPr>
                <w:spacing w:val="-3"/>
                <w:lang w:eastAsia="zh-CN"/>
              </w:rPr>
              <w:t>轻伤</w:t>
            </w:r>
            <w:r>
              <w:rPr>
                <w:spacing w:val="-3"/>
                <w:u w:val="single"/>
                <w:lang w:eastAsia="zh-CN"/>
              </w:rPr>
              <w:t xml:space="preserve">   </w:t>
            </w:r>
            <w:r>
              <w:rPr>
                <w:spacing w:val="-83"/>
                <w:lang w:eastAsia="zh-CN"/>
              </w:rPr>
              <w:t xml:space="preserve"> </w:t>
            </w:r>
            <w:r>
              <w:rPr>
                <w:spacing w:val="-3"/>
                <w:lang w:eastAsia="zh-CN"/>
              </w:rPr>
              <w:t>人，重伤</w:t>
            </w:r>
            <w:r>
              <w:rPr>
                <w:spacing w:val="-3"/>
                <w:u w:val="single"/>
                <w:lang w:eastAsia="zh-CN"/>
              </w:rPr>
              <w:t xml:space="preserve">   </w:t>
            </w:r>
            <w:r>
              <w:rPr>
                <w:spacing w:val="-80"/>
                <w:lang w:eastAsia="zh-CN"/>
              </w:rPr>
              <w:t xml:space="preserve"> </w:t>
            </w:r>
            <w:r>
              <w:rPr>
                <w:spacing w:val="-3"/>
                <w:lang w:eastAsia="zh-CN"/>
              </w:rPr>
              <w:t>人，死亡</w:t>
            </w:r>
            <w:r>
              <w:rPr>
                <w:spacing w:val="-3"/>
                <w:u w:val="single"/>
                <w:lang w:eastAsia="zh-CN"/>
              </w:rPr>
              <w:t xml:space="preserve">   </w:t>
            </w:r>
            <w:r>
              <w:rPr>
                <w:spacing w:val="-83"/>
                <w:lang w:eastAsia="zh-CN"/>
              </w:rPr>
              <w:t xml:space="preserve"> </w:t>
            </w:r>
            <w:r>
              <w:rPr>
                <w:spacing w:val="-3"/>
                <w:lang w:eastAsia="zh-CN"/>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2" w:type="dxa"/>
            <w:vAlign w:val="center"/>
          </w:tcPr>
          <w:p>
            <w:pPr>
              <w:pStyle w:val="139"/>
              <w:jc w:val="center"/>
              <w:rPr>
                <w:rFonts w:hint="eastAsia"/>
              </w:rPr>
            </w:pPr>
            <w:r>
              <w:rPr>
                <w:spacing w:val="-2"/>
              </w:rPr>
              <w:t>设备受损情况</w:t>
            </w:r>
          </w:p>
        </w:tc>
        <w:tc>
          <w:tcPr>
            <w:tcW w:w="8152" w:type="dxa"/>
            <w:gridSpan w:val="4"/>
            <w:vAlign w:val="center"/>
          </w:tcPr>
          <w:p>
            <w:pPr>
              <w:pStyle w:val="139"/>
              <w:ind w:firstLine="164" w:firstLineChars="100"/>
              <w:rPr>
                <w:rFonts w:hint="eastAsia"/>
                <w:lang w:eastAsia="zh-CN"/>
              </w:rPr>
            </w:pPr>
            <w:r>
              <w:rPr>
                <w:rFonts w:ascii="Wingdings" w:hAnsi="Wingdings" w:eastAsia="Wingdings" w:cs="Wingdings"/>
                <w:spacing w:val="-8"/>
                <w:lang w:eastAsia="zh-CN"/>
              </w:rPr>
              <w:t></w:t>
            </w:r>
            <w:r>
              <w:rPr>
                <w:rFonts w:ascii="Wingdings" w:hAnsi="Wingdings" w:eastAsia="Wingdings" w:cs="Wingdings"/>
                <w:spacing w:val="-54"/>
                <w:lang w:eastAsia="zh-CN"/>
              </w:rPr>
              <w:t xml:space="preserve"> </w:t>
            </w:r>
            <w:r>
              <w:rPr>
                <w:spacing w:val="-8"/>
                <w:lang w:eastAsia="zh-CN"/>
              </w:rPr>
              <w:t>无损伤；</w:t>
            </w:r>
            <w:r>
              <w:rPr>
                <w:rFonts w:ascii="Wingdings" w:hAnsi="Wingdings" w:eastAsia="Wingdings" w:cs="Wingdings"/>
                <w:spacing w:val="-8"/>
                <w:lang w:eastAsia="zh-CN"/>
              </w:rPr>
              <w:t></w:t>
            </w:r>
            <w:r>
              <w:rPr>
                <w:rFonts w:ascii="Wingdings" w:hAnsi="Wingdings" w:eastAsia="Wingdings" w:cs="Wingdings"/>
                <w:spacing w:val="-49"/>
                <w:lang w:eastAsia="zh-CN"/>
              </w:rPr>
              <w:t xml:space="preserve"> </w:t>
            </w:r>
            <w:r>
              <w:rPr>
                <w:spacing w:val="-8"/>
                <w:lang w:eastAsia="zh-CN"/>
              </w:rPr>
              <w:t>已修复；</w:t>
            </w:r>
            <w:r>
              <w:rPr>
                <w:rFonts w:ascii="Wingdings" w:hAnsi="Wingdings" w:eastAsia="Wingdings" w:cs="Wingdings"/>
                <w:spacing w:val="-8"/>
                <w:lang w:eastAsia="zh-CN"/>
              </w:rPr>
              <w:t></w:t>
            </w:r>
            <w:r>
              <w:rPr>
                <w:rFonts w:ascii="Wingdings" w:hAnsi="Wingdings" w:eastAsia="Wingdings" w:cs="Wingdings"/>
                <w:spacing w:val="-66"/>
                <w:lang w:eastAsia="zh-CN"/>
              </w:rPr>
              <w:t xml:space="preserve"> </w:t>
            </w:r>
            <w:r>
              <w:rPr>
                <w:spacing w:val="-8"/>
                <w:lang w:eastAsia="zh-CN"/>
              </w:rPr>
              <w:t>未修复。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2" w:type="dxa"/>
            <w:vAlign w:val="center"/>
          </w:tcPr>
          <w:p>
            <w:pPr>
              <w:pStyle w:val="139"/>
              <w:jc w:val="center"/>
              <w:rPr>
                <w:rFonts w:hint="eastAsia"/>
              </w:rPr>
            </w:pPr>
            <w:r>
              <w:rPr>
                <w:spacing w:val="-2"/>
              </w:rPr>
              <w:t>应急处置机构</w:t>
            </w:r>
          </w:p>
        </w:tc>
        <w:tc>
          <w:tcPr>
            <w:tcW w:w="8152" w:type="dxa"/>
            <w:gridSpan w:val="4"/>
            <w:vAlign w:val="center"/>
          </w:tcPr>
          <w:p>
            <w:pPr>
              <w:pStyle w:val="139"/>
              <w:ind w:firstLine="170" w:firstLineChars="100"/>
              <w:rPr>
                <w:rFonts w:hint="eastAsia"/>
                <w:lang w:eastAsia="zh-CN"/>
              </w:rPr>
            </w:pPr>
            <w:r>
              <w:rPr>
                <w:rFonts w:ascii="Wingdings" w:hAnsi="Wingdings" w:eastAsia="Wingdings" w:cs="Wingdings"/>
                <w:spacing w:val="-5"/>
                <w:lang w:eastAsia="zh-CN"/>
              </w:rPr>
              <w:t></w:t>
            </w:r>
            <w:r>
              <w:rPr>
                <w:rFonts w:ascii="Wingdings" w:hAnsi="Wingdings" w:eastAsia="Wingdings" w:cs="Wingdings"/>
                <w:spacing w:val="-65"/>
                <w:lang w:eastAsia="zh-CN"/>
              </w:rPr>
              <w:t xml:space="preserve"> </w:t>
            </w:r>
            <w:r>
              <w:rPr>
                <w:spacing w:val="-5"/>
                <w:lang w:eastAsia="zh-CN"/>
              </w:rPr>
              <w:t>签约维保单位；</w:t>
            </w:r>
            <w:r>
              <w:rPr>
                <w:rFonts w:ascii="Wingdings" w:hAnsi="Wingdings" w:eastAsia="Wingdings" w:cs="Wingdings"/>
                <w:spacing w:val="-5"/>
                <w:lang w:eastAsia="zh-CN"/>
              </w:rPr>
              <w:t></w:t>
            </w:r>
            <w:r>
              <w:rPr>
                <w:rFonts w:ascii="Wingdings" w:hAnsi="Wingdings" w:eastAsia="Wingdings" w:cs="Wingdings"/>
                <w:spacing w:val="-68"/>
                <w:lang w:eastAsia="zh-CN"/>
              </w:rPr>
              <w:t xml:space="preserve"> </w:t>
            </w:r>
            <w:r>
              <w:rPr>
                <w:spacing w:val="-5"/>
                <w:lang w:eastAsia="zh-CN"/>
              </w:rPr>
              <w:t>救援站；</w:t>
            </w:r>
            <w:r>
              <w:rPr>
                <w:rFonts w:ascii="Wingdings" w:hAnsi="Wingdings" w:eastAsia="Wingdings" w:cs="Wingdings"/>
                <w:spacing w:val="-5"/>
                <w:lang w:eastAsia="zh-CN"/>
              </w:rPr>
              <w:t></w:t>
            </w:r>
            <w:r>
              <w:rPr>
                <w:rFonts w:ascii="Wingdings" w:hAnsi="Wingdings" w:eastAsia="Wingdings" w:cs="Wingdings"/>
                <w:spacing w:val="-55"/>
                <w:lang w:eastAsia="zh-CN"/>
              </w:rPr>
              <w:t xml:space="preserve"> </w:t>
            </w:r>
            <w:r>
              <w:rPr>
                <w:spacing w:val="-5"/>
                <w:lang w:eastAsia="zh-CN"/>
              </w:rPr>
              <w:t>119消防。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22" w:type="dxa"/>
            <w:vAlign w:val="center"/>
          </w:tcPr>
          <w:p>
            <w:pPr>
              <w:pStyle w:val="139"/>
              <w:jc w:val="center"/>
              <w:rPr>
                <w:rFonts w:hint="eastAsia"/>
                <w:spacing w:val="-2"/>
                <w:lang w:eastAsia="zh-CN"/>
              </w:rPr>
            </w:pPr>
            <w:r>
              <w:rPr>
                <w:spacing w:val="-2"/>
                <w:lang w:eastAsia="zh-CN"/>
              </w:rPr>
              <w:t>应急处置人员</w:t>
            </w:r>
          </w:p>
          <w:p>
            <w:pPr>
              <w:pStyle w:val="139"/>
              <w:jc w:val="center"/>
              <w:rPr>
                <w:rFonts w:hint="eastAsia"/>
                <w:lang w:eastAsia="zh-CN"/>
              </w:rPr>
            </w:pPr>
            <w:r>
              <w:rPr>
                <w:spacing w:val="-5"/>
                <w:lang w:eastAsia="zh-CN"/>
              </w:rPr>
              <w:t>（签字）</w:t>
            </w:r>
          </w:p>
        </w:tc>
        <w:tc>
          <w:tcPr>
            <w:tcW w:w="5165" w:type="dxa"/>
            <w:gridSpan w:val="2"/>
          </w:tcPr>
          <w:p>
            <w:pPr>
              <w:rPr>
                <w:rFonts w:ascii="Arial"/>
              </w:rPr>
            </w:pPr>
          </w:p>
        </w:tc>
        <w:tc>
          <w:tcPr>
            <w:tcW w:w="974" w:type="dxa"/>
          </w:tcPr>
          <w:p>
            <w:pPr>
              <w:spacing w:line="321" w:lineRule="auto"/>
              <w:rPr>
                <w:rFonts w:ascii="Arial"/>
              </w:rPr>
            </w:pPr>
          </w:p>
          <w:p>
            <w:pPr>
              <w:pStyle w:val="139"/>
              <w:spacing w:before="59" w:line="220" w:lineRule="auto"/>
              <w:ind w:left="343"/>
              <w:rPr>
                <w:rFonts w:hint="eastAsia"/>
              </w:rPr>
            </w:pPr>
            <w:r>
              <w:rPr>
                <w:spacing w:val="-19"/>
              </w:rPr>
              <w:t>日</w:t>
            </w:r>
            <w:r>
              <w:rPr>
                <w:rFonts w:hint="eastAsia"/>
                <w:spacing w:val="-19"/>
                <w:lang w:eastAsia="zh-CN"/>
              </w:rPr>
              <w:t xml:space="preserve"> </w:t>
            </w:r>
            <w:r>
              <w:rPr>
                <w:spacing w:val="-19"/>
              </w:rPr>
              <w:t>期</w:t>
            </w:r>
          </w:p>
        </w:tc>
        <w:tc>
          <w:tcPr>
            <w:tcW w:w="201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22" w:type="dxa"/>
            <w:vAlign w:val="center"/>
          </w:tcPr>
          <w:p>
            <w:pPr>
              <w:pStyle w:val="139"/>
              <w:jc w:val="center"/>
              <w:rPr>
                <w:rFonts w:hint="eastAsia"/>
                <w:spacing w:val="-5"/>
                <w:lang w:eastAsia="zh-CN"/>
              </w:rPr>
            </w:pPr>
            <w:r>
              <w:rPr>
                <w:spacing w:val="-5"/>
                <w:lang w:eastAsia="zh-CN"/>
              </w:rPr>
              <w:t>电梯使用单位</w:t>
            </w:r>
          </w:p>
          <w:p>
            <w:pPr>
              <w:pStyle w:val="139"/>
              <w:jc w:val="center"/>
              <w:rPr>
                <w:rFonts w:hint="eastAsia"/>
                <w:lang w:eastAsia="zh-CN"/>
              </w:rPr>
            </w:pPr>
            <w:r>
              <w:rPr>
                <w:spacing w:val="-5"/>
                <w:lang w:eastAsia="zh-CN"/>
              </w:rPr>
              <w:t>（签章）</w:t>
            </w:r>
          </w:p>
        </w:tc>
        <w:tc>
          <w:tcPr>
            <w:tcW w:w="5165" w:type="dxa"/>
            <w:gridSpan w:val="2"/>
          </w:tcPr>
          <w:p>
            <w:pPr>
              <w:rPr>
                <w:rFonts w:ascii="Arial"/>
              </w:rPr>
            </w:pPr>
          </w:p>
        </w:tc>
        <w:tc>
          <w:tcPr>
            <w:tcW w:w="974" w:type="dxa"/>
          </w:tcPr>
          <w:p>
            <w:pPr>
              <w:spacing w:line="322" w:lineRule="auto"/>
              <w:rPr>
                <w:rFonts w:ascii="Arial"/>
              </w:rPr>
            </w:pPr>
          </w:p>
          <w:p>
            <w:pPr>
              <w:pStyle w:val="139"/>
              <w:spacing w:before="59" w:line="220" w:lineRule="auto"/>
              <w:ind w:left="343"/>
              <w:rPr>
                <w:rFonts w:hint="eastAsia"/>
              </w:rPr>
            </w:pPr>
            <w:r>
              <w:rPr>
                <w:spacing w:val="-19"/>
              </w:rPr>
              <w:t>日</w:t>
            </w:r>
            <w:r>
              <w:rPr>
                <w:rFonts w:hint="eastAsia"/>
                <w:spacing w:val="-19"/>
                <w:lang w:eastAsia="zh-CN"/>
              </w:rPr>
              <w:t xml:space="preserve"> </w:t>
            </w:r>
            <w:r>
              <w:rPr>
                <w:spacing w:val="-19"/>
              </w:rPr>
              <w:t>期</w:t>
            </w:r>
          </w:p>
        </w:tc>
        <w:tc>
          <w:tcPr>
            <w:tcW w:w="2013" w:type="dxa"/>
          </w:tcPr>
          <w:p>
            <w:pPr>
              <w:rPr>
                <w:rFonts w:ascii="Arial"/>
              </w:rPr>
            </w:pPr>
          </w:p>
        </w:tc>
      </w:tr>
    </w:tbl>
    <w:p>
      <w:pPr>
        <w:pStyle w:val="22"/>
        <w:ind w:firstLine="0" w:firstLineChars="0"/>
        <w:sectPr>
          <w:headerReference r:id="rId7" w:type="default"/>
          <w:footerReference r:id="rId9" w:type="default"/>
          <w:headerReference r:id="rId8" w:type="even"/>
          <w:footerReference r:id="rId10" w:type="even"/>
          <w:pgSz w:w="11906" w:h="16838"/>
          <w:pgMar w:top="567" w:right="1134" w:bottom="1134" w:left="1417" w:header="1418" w:footer="1134" w:gutter="0"/>
          <w:cols w:space="425" w:num="1"/>
          <w:formProt w:val="0"/>
          <w:docGrid w:type="lines" w:linePitch="312" w:charSpace="0"/>
        </w:sectPr>
      </w:pPr>
    </w:p>
    <w:p>
      <w:pPr>
        <w:pStyle w:val="68"/>
        <w:rPr>
          <w:color w:val="FF0000"/>
        </w:rPr>
      </w:pPr>
      <w:bookmarkStart w:id="161" w:name="_Toc17878131"/>
      <w:bookmarkStart w:id="162" w:name="BKCKWX"/>
      <w:bookmarkStart w:id="163" w:name="_Toc32596"/>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61"/>
      <w:bookmarkEnd w:id="162"/>
      <w:bookmarkEnd w:id="163"/>
    </w:p>
    <w:p>
      <w:pPr>
        <w:pStyle w:val="22"/>
        <w:numPr>
          <w:ilvl w:val="0"/>
          <w:numId w:val="18"/>
        </w:numPr>
      </w:pPr>
      <w:r>
        <w:rPr>
          <w:rFonts w:hint="eastAsia"/>
        </w:rPr>
        <w:t xml:space="preserve"> 《中华人民共和国特种设备安全法》</w:t>
      </w:r>
    </w:p>
    <w:p>
      <w:pPr>
        <w:pStyle w:val="22"/>
        <w:numPr>
          <w:ilvl w:val="0"/>
          <w:numId w:val="18"/>
        </w:numPr>
      </w:pPr>
      <w:r>
        <w:rPr>
          <w:rFonts w:hint="eastAsia"/>
        </w:rPr>
        <w:t xml:space="preserve"> 《中华人民共和国突发事件应对法》</w:t>
      </w:r>
    </w:p>
    <w:p>
      <w:pPr>
        <w:pStyle w:val="22"/>
      </w:pPr>
      <w:r>
        <w:rPr>
          <w:rFonts w:hint="eastAsia"/>
        </w:rPr>
        <w:t>[3]  《国务院办公厅关于加强电梯质量安全工作的意见》（国办发〔2018〕8号）</w:t>
      </w:r>
    </w:p>
    <w:p>
      <w:pPr>
        <w:pStyle w:val="22"/>
      </w:pPr>
      <w:r>
        <w:rPr>
          <w:rFonts w:hint="eastAsia"/>
        </w:rPr>
        <w:t>[4]  《特种设备安全监察条例》</w:t>
      </w:r>
    </w:p>
    <w:p>
      <w:pPr>
        <w:pStyle w:val="22"/>
      </w:pPr>
      <w:r>
        <w:rPr>
          <w:rFonts w:hint="eastAsia"/>
        </w:rPr>
        <w:t>[5]  《关于印发特种设备突发事件应急预案的通知》（国市监特设发〔2024〕41号）</w:t>
      </w:r>
    </w:p>
    <w:p>
      <w:pPr>
        <w:pStyle w:val="22"/>
      </w:pPr>
      <w:r>
        <w:rPr>
          <w:rFonts w:hint="eastAsia"/>
        </w:rPr>
        <w:t>[6]  《特种设备事故报告和调查处理规定》（国家市场监督管理总局令第50号）</w:t>
      </w:r>
    </w:p>
    <w:p>
      <w:pPr>
        <w:pStyle w:val="22"/>
      </w:pPr>
      <w:r>
        <w:rPr>
          <w:rFonts w:hint="eastAsia"/>
        </w:rPr>
        <w:t>[7]  《四川省电梯安全监督管理办法》</w:t>
      </w:r>
    </w:p>
    <w:p>
      <w:pPr>
        <w:pStyle w:val="22"/>
      </w:pPr>
      <w:r>
        <w:rPr>
          <w:rFonts w:hint="eastAsia"/>
        </w:rPr>
        <w:t>[8]  《重庆市电梯安全管理办法》</w:t>
      </w:r>
    </w:p>
    <w:p>
      <w:pPr>
        <w:pStyle w:val="22"/>
      </w:pPr>
      <w:r>
        <w:rPr>
          <w:rFonts w:hint="eastAsia"/>
        </w:rPr>
        <w:t>[9]  《成都市电梯安全监督管理办法》</w:t>
      </w:r>
    </w:p>
    <w:p>
      <w:pPr>
        <w:pStyle w:val="126"/>
        <w:framePr w:wrap="around"/>
      </w:pPr>
      <w:r>
        <w:t>_________________________________</w:t>
      </w:r>
    </w:p>
    <w:sectPr>
      <w:pgSz w:w="11906" w:h="16838"/>
      <w:pgMar w:top="567" w:right="1134" w:bottom="1134" w:left="1417"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jc w:val="right"/>
    </w:pPr>
    <w:r>
      <w:t>DB/T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hint="eastAsia" w:hAnsi="黑体"/>
      </w:rPr>
    </w:pPr>
    <w:r>
      <w:rPr>
        <w:rFonts w:hAnsi="黑体"/>
      </w:rPr>
      <w:t>DB/T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DB/T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t>DB/T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8DD42"/>
    <w:multiLevelType w:val="singleLevel"/>
    <w:tmpl w:val="DD98DD42"/>
    <w:lvl w:ilvl="0" w:tentative="0">
      <w:start w:val="1"/>
      <w:numFmt w:val="decimal"/>
      <w:suff w:val="space"/>
      <w:lvlText w:val="[%1]"/>
      <w:lvlJc w:val="left"/>
    </w:lvl>
  </w:abstractNum>
  <w:abstractNum w:abstractNumId="1">
    <w:nsid w:val="0A952887"/>
    <w:multiLevelType w:val="multilevel"/>
    <w:tmpl w:val="0A952887"/>
    <w:lvl w:ilvl="0" w:tentative="0">
      <w:start w:val="1"/>
      <w:numFmt w:val="decimal"/>
      <w:pStyle w:val="6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F805D97"/>
    <w:multiLevelType w:val="multilevel"/>
    <w:tmpl w:val="0F805D97"/>
    <w:lvl w:ilvl="0" w:tentative="0">
      <w:start w:val="1"/>
      <w:numFmt w:val="none"/>
      <w:pStyle w:val="5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6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5"/>
      <w:suff w:val="nothing"/>
      <w:lvlText w:val="%1——"/>
      <w:lvlJc w:val="left"/>
      <w:pPr>
        <w:ind w:left="833" w:hanging="408"/>
      </w:pPr>
      <w:rPr>
        <w:rFonts w:hint="eastAsia"/>
      </w:rPr>
    </w:lvl>
    <w:lvl w:ilvl="1" w:tentative="0">
      <w:start w:val="1"/>
      <w:numFmt w:val="bullet"/>
      <w:pStyle w:val="46"/>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1"/>
      <w:lvlText w:val="%2)"/>
      <w:lvlJc w:val="left"/>
      <w:pPr>
        <w:tabs>
          <w:tab w:val="left" w:pos="1260"/>
        </w:tabs>
        <w:ind w:left="1259" w:hanging="419"/>
      </w:pPr>
      <w:rPr>
        <w:rFonts w:hint="eastAsia"/>
      </w:rPr>
    </w:lvl>
    <w:lvl w:ilvl="2" w:tentative="0">
      <w:start w:val="1"/>
      <w:numFmt w:val="decimal"/>
      <w:pStyle w:val="5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20F62E9"/>
    <w:multiLevelType w:val="multilevel"/>
    <w:tmpl w:val="520F62E9"/>
    <w:lvl w:ilvl="0" w:tentative="0">
      <w:start w:val="1"/>
      <w:numFmt w:val="decimal"/>
      <w:pStyle w:val="125"/>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5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83"/>
      <w:lvlText w:val="%1"/>
      <w:lvlJc w:val="left"/>
      <w:pPr>
        <w:tabs>
          <w:tab w:val="left" w:pos="0"/>
        </w:tabs>
        <w:ind w:left="0" w:hanging="425"/>
      </w:pPr>
      <w:rPr>
        <w:rFonts w:hint="eastAsia"/>
      </w:rPr>
    </w:lvl>
    <w:lvl w:ilvl="1" w:tentative="0">
      <w:start w:val="1"/>
      <w:numFmt w:val="decimal"/>
      <w:pStyle w:val="84"/>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23"/>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59"/>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7"/>
  </w:num>
  <w:num w:numId="4">
    <w:abstractNumId w:val="13"/>
  </w:num>
  <w:num w:numId="5">
    <w:abstractNumId w:val="9"/>
  </w:num>
  <w:num w:numId="6">
    <w:abstractNumId w:val="2"/>
  </w:num>
  <w:num w:numId="7">
    <w:abstractNumId w:val="11"/>
  </w:num>
  <w:num w:numId="8">
    <w:abstractNumId w:val="16"/>
  </w:num>
  <w:num w:numId="9">
    <w:abstractNumId w:val="5"/>
  </w:num>
  <w:num w:numId="10">
    <w:abstractNumId w:val="1"/>
  </w:num>
  <w:num w:numId="11">
    <w:abstractNumId w:val="15"/>
  </w:num>
  <w:num w:numId="12">
    <w:abstractNumId w:val="12"/>
  </w:num>
  <w:num w:numId="13">
    <w:abstractNumId w:val="17"/>
  </w:num>
  <w:num w:numId="14">
    <w:abstractNumId w:val="6"/>
  </w:num>
  <w:num w:numId="15">
    <w:abstractNumId w:val="4"/>
  </w:num>
  <w:num w:numId="16">
    <w:abstractNumId w:val="14"/>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NmFhNzkzNzBmODI1YzgyMjFhNGE4ZDhkODcxZWIifQ=="/>
    <w:docVar w:name="KSO_WPS_MARK_KEY" w:val="4edd5290-ab59-4159-b646-5637c5212313"/>
  </w:docVars>
  <w:rsids>
    <w:rsidRoot w:val="00035925"/>
    <w:rsid w:val="00000244"/>
    <w:rsid w:val="00000BB3"/>
    <w:rsid w:val="0000185F"/>
    <w:rsid w:val="00004B91"/>
    <w:rsid w:val="00004E32"/>
    <w:rsid w:val="0000586F"/>
    <w:rsid w:val="00013D86"/>
    <w:rsid w:val="00013E02"/>
    <w:rsid w:val="0002143C"/>
    <w:rsid w:val="00025A65"/>
    <w:rsid w:val="00025F0C"/>
    <w:rsid w:val="00026C31"/>
    <w:rsid w:val="00027280"/>
    <w:rsid w:val="000320A7"/>
    <w:rsid w:val="000325EA"/>
    <w:rsid w:val="0003407E"/>
    <w:rsid w:val="00035925"/>
    <w:rsid w:val="00036C2C"/>
    <w:rsid w:val="00044D1D"/>
    <w:rsid w:val="00045A7C"/>
    <w:rsid w:val="00055371"/>
    <w:rsid w:val="00056A24"/>
    <w:rsid w:val="00057CE5"/>
    <w:rsid w:val="000607A3"/>
    <w:rsid w:val="000657F7"/>
    <w:rsid w:val="00067CDF"/>
    <w:rsid w:val="00074FBE"/>
    <w:rsid w:val="0007762A"/>
    <w:rsid w:val="00081F6E"/>
    <w:rsid w:val="00083A09"/>
    <w:rsid w:val="0009005E"/>
    <w:rsid w:val="000918A9"/>
    <w:rsid w:val="00091A39"/>
    <w:rsid w:val="00092001"/>
    <w:rsid w:val="00092618"/>
    <w:rsid w:val="00092857"/>
    <w:rsid w:val="00092BD8"/>
    <w:rsid w:val="00094425"/>
    <w:rsid w:val="000954CA"/>
    <w:rsid w:val="000964C7"/>
    <w:rsid w:val="000979D9"/>
    <w:rsid w:val="000A20A9"/>
    <w:rsid w:val="000A48B1"/>
    <w:rsid w:val="000B2F0E"/>
    <w:rsid w:val="000B3143"/>
    <w:rsid w:val="000B405D"/>
    <w:rsid w:val="000B68FA"/>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7A25"/>
    <w:rsid w:val="00121293"/>
    <w:rsid w:val="0013175F"/>
    <w:rsid w:val="00132283"/>
    <w:rsid w:val="0013364D"/>
    <w:rsid w:val="001343BB"/>
    <w:rsid w:val="00143E03"/>
    <w:rsid w:val="001512B4"/>
    <w:rsid w:val="00153A26"/>
    <w:rsid w:val="00155C90"/>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A288E"/>
    <w:rsid w:val="001A2A91"/>
    <w:rsid w:val="001B36ED"/>
    <w:rsid w:val="001B4613"/>
    <w:rsid w:val="001B6DC2"/>
    <w:rsid w:val="001B754B"/>
    <w:rsid w:val="001C149C"/>
    <w:rsid w:val="001C21AC"/>
    <w:rsid w:val="001C2FA4"/>
    <w:rsid w:val="001C3689"/>
    <w:rsid w:val="001C47BA"/>
    <w:rsid w:val="001C59EA"/>
    <w:rsid w:val="001D3556"/>
    <w:rsid w:val="001D406C"/>
    <w:rsid w:val="001D41EE"/>
    <w:rsid w:val="001D4BEB"/>
    <w:rsid w:val="001D71E6"/>
    <w:rsid w:val="001E0380"/>
    <w:rsid w:val="001E0B1B"/>
    <w:rsid w:val="001E13B1"/>
    <w:rsid w:val="001E1E6E"/>
    <w:rsid w:val="001E2153"/>
    <w:rsid w:val="001F3A19"/>
    <w:rsid w:val="002009E4"/>
    <w:rsid w:val="00201053"/>
    <w:rsid w:val="0020251B"/>
    <w:rsid w:val="002073D3"/>
    <w:rsid w:val="00211861"/>
    <w:rsid w:val="00215D48"/>
    <w:rsid w:val="0021624B"/>
    <w:rsid w:val="0022185E"/>
    <w:rsid w:val="00227FED"/>
    <w:rsid w:val="0023030A"/>
    <w:rsid w:val="00230F08"/>
    <w:rsid w:val="00234467"/>
    <w:rsid w:val="00235BE6"/>
    <w:rsid w:val="002361E3"/>
    <w:rsid w:val="00237D8D"/>
    <w:rsid w:val="00241DA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2F6B78"/>
    <w:rsid w:val="00301F39"/>
    <w:rsid w:val="00303D27"/>
    <w:rsid w:val="00305B7C"/>
    <w:rsid w:val="00305BEE"/>
    <w:rsid w:val="00313962"/>
    <w:rsid w:val="00316192"/>
    <w:rsid w:val="00320F6F"/>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75564"/>
    <w:rsid w:val="00376489"/>
    <w:rsid w:val="00383191"/>
    <w:rsid w:val="00386DED"/>
    <w:rsid w:val="003912E7"/>
    <w:rsid w:val="00393947"/>
    <w:rsid w:val="00395141"/>
    <w:rsid w:val="003A0E27"/>
    <w:rsid w:val="003A2275"/>
    <w:rsid w:val="003A6A4F"/>
    <w:rsid w:val="003A7088"/>
    <w:rsid w:val="003B00DF"/>
    <w:rsid w:val="003B1275"/>
    <w:rsid w:val="003B1778"/>
    <w:rsid w:val="003B1E8E"/>
    <w:rsid w:val="003C11CB"/>
    <w:rsid w:val="003C3017"/>
    <w:rsid w:val="003C31E0"/>
    <w:rsid w:val="003C6A77"/>
    <w:rsid w:val="003C75F3"/>
    <w:rsid w:val="003C78A3"/>
    <w:rsid w:val="003D1CAD"/>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5082"/>
    <w:rsid w:val="00431DEB"/>
    <w:rsid w:val="00434AFB"/>
    <w:rsid w:val="00435DE6"/>
    <w:rsid w:val="004369D9"/>
    <w:rsid w:val="0044259D"/>
    <w:rsid w:val="004439D9"/>
    <w:rsid w:val="00446B29"/>
    <w:rsid w:val="004524BE"/>
    <w:rsid w:val="00453F9A"/>
    <w:rsid w:val="00454CC3"/>
    <w:rsid w:val="00464903"/>
    <w:rsid w:val="00471E91"/>
    <w:rsid w:val="00474079"/>
    <w:rsid w:val="00474675"/>
    <w:rsid w:val="0047470C"/>
    <w:rsid w:val="004826C0"/>
    <w:rsid w:val="00484C88"/>
    <w:rsid w:val="004A203E"/>
    <w:rsid w:val="004A35F9"/>
    <w:rsid w:val="004A4662"/>
    <w:rsid w:val="004A7E02"/>
    <w:rsid w:val="004B157A"/>
    <w:rsid w:val="004B24C1"/>
    <w:rsid w:val="004B3092"/>
    <w:rsid w:val="004B43EC"/>
    <w:rsid w:val="004B49B1"/>
    <w:rsid w:val="004B557C"/>
    <w:rsid w:val="004C292F"/>
    <w:rsid w:val="004C657F"/>
    <w:rsid w:val="004D306F"/>
    <w:rsid w:val="004D4B02"/>
    <w:rsid w:val="004D4F76"/>
    <w:rsid w:val="004E4B13"/>
    <w:rsid w:val="004E4B8C"/>
    <w:rsid w:val="004E5A47"/>
    <w:rsid w:val="004F2EF3"/>
    <w:rsid w:val="005036E2"/>
    <w:rsid w:val="00503892"/>
    <w:rsid w:val="00510280"/>
    <w:rsid w:val="005118C4"/>
    <w:rsid w:val="00513D73"/>
    <w:rsid w:val="005148B3"/>
    <w:rsid w:val="00514A43"/>
    <w:rsid w:val="00515E9C"/>
    <w:rsid w:val="005174E5"/>
    <w:rsid w:val="00520898"/>
    <w:rsid w:val="005211E6"/>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77AE9"/>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077"/>
    <w:rsid w:val="005D3842"/>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32E56"/>
    <w:rsid w:val="00635CBA"/>
    <w:rsid w:val="00636EFC"/>
    <w:rsid w:val="00637D40"/>
    <w:rsid w:val="0064338B"/>
    <w:rsid w:val="00646542"/>
    <w:rsid w:val="006504F4"/>
    <w:rsid w:val="0065366F"/>
    <w:rsid w:val="00654BC9"/>
    <w:rsid w:val="006552FD"/>
    <w:rsid w:val="00656F0B"/>
    <w:rsid w:val="0066305C"/>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6D31"/>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64448"/>
    <w:rsid w:val="00780DE2"/>
    <w:rsid w:val="0078180B"/>
    <w:rsid w:val="007913AB"/>
    <w:rsid w:val="007914F7"/>
    <w:rsid w:val="00795C73"/>
    <w:rsid w:val="007A4809"/>
    <w:rsid w:val="007B1625"/>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5D89"/>
    <w:rsid w:val="007F6744"/>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41AC3"/>
    <w:rsid w:val="008422EF"/>
    <w:rsid w:val="008504A8"/>
    <w:rsid w:val="00851B58"/>
    <w:rsid w:val="0085282E"/>
    <w:rsid w:val="00867088"/>
    <w:rsid w:val="00867538"/>
    <w:rsid w:val="0087198C"/>
    <w:rsid w:val="00872C1F"/>
    <w:rsid w:val="00873B42"/>
    <w:rsid w:val="00877CB0"/>
    <w:rsid w:val="008805AC"/>
    <w:rsid w:val="00880D1A"/>
    <w:rsid w:val="008833B6"/>
    <w:rsid w:val="00884468"/>
    <w:rsid w:val="008856D8"/>
    <w:rsid w:val="0088612F"/>
    <w:rsid w:val="00892E82"/>
    <w:rsid w:val="00893277"/>
    <w:rsid w:val="00895FA9"/>
    <w:rsid w:val="008A1035"/>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1478"/>
    <w:rsid w:val="00904075"/>
    <w:rsid w:val="009040DD"/>
    <w:rsid w:val="00905B47"/>
    <w:rsid w:val="0090690F"/>
    <w:rsid w:val="00910CE9"/>
    <w:rsid w:val="00911391"/>
    <w:rsid w:val="0091331C"/>
    <w:rsid w:val="009137BD"/>
    <w:rsid w:val="0091503D"/>
    <w:rsid w:val="00920839"/>
    <w:rsid w:val="00923BEB"/>
    <w:rsid w:val="00925DB2"/>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4F83"/>
    <w:rsid w:val="009877D3"/>
    <w:rsid w:val="00994E8F"/>
    <w:rsid w:val="009951DC"/>
    <w:rsid w:val="009959BB"/>
    <w:rsid w:val="00997158"/>
    <w:rsid w:val="009A0827"/>
    <w:rsid w:val="009A3A7C"/>
    <w:rsid w:val="009A5D33"/>
    <w:rsid w:val="009A7D84"/>
    <w:rsid w:val="009B2323"/>
    <w:rsid w:val="009B2ADB"/>
    <w:rsid w:val="009B34BB"/>
    <w:rsid w:val="009B43BA"/>
    <w:rsid w:val="009B603A"/>
    <w:rsid w:val="009C2D0E"/>
    <w:rsid w:val="009C3018"/>
    <w:rsid w:val="009C3DAC"/>
    <w:rsid w:val="009C42E0"/>
    <w:rsid w:val="009D3230"/>
    <w:rsid w:val="009D5362"/>
    <w:rsid w:val="009E1415"/>
    <w:rsid w:val="009E6116"/>
    <w:rsid w:val="009E7E25"/>
    <w:rsid w:val="00A02E43"/>
    <w:rsid w:val="00A05368"/>
    <w:rsid w:val="00A065F9"/>
    <w:rsid w:val="00A07011"/>
    <w:rsid w:val="00A07F34"/>
    <w:rsid w:val="00A22154"/>
    <w:rsid w:val="00A24058"/>
    <w:rsid w:val="00A25C38"/>
    <w:rsid w:val="00A26108"/>
    <w:rsid w:val="00A35824"/>
    <w:rsid w:val="00A36BBE"/>
    <w:rsid w:val="00A37C20"/>
    <w:rsid w:val="00A37C8C"/>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7844"/>
    <w:rsid w:val="00A9227B"/>
    <w:rsid w:val="00A97A55"/>
    <w:rsid w:val="00AA038C"/>
    <w:rsid w:val="00AA69AF"/>
    <w:rsid w:val="00AA7A09"/>
    <w:rsid w:val="00AB1CC9"/>
    <w:rsid w:val="00AB3B50"/>
    <w:rsid w:val="00AC05B1"/>
    <w:rsid w:val="00AC450C"/>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261C"/>
    <w:rsid w:val="00B9397A"/>
    <w:rsid w:val="00B9633D"/>
    <w:rsid w:val="00B967D5"/>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0ECF"/>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166B"/>
    <w:rsid w:val="00C65BCC"/>
    <w:rsid w:val="00C66970"/>
    <w:rsid w:val="00C71F4D"/>
    <w:rsid w:val="00C77588"/>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D13A1"/>
    <w:rsid w:val="00CF1E15"/>
    <w:rsid w:val="00CF7725"/>
    <w:rsid w:val="00D00A8D"/>
    <w:rsid w:val="00D03268"/>
    <w:rsid w:val="00D0337B"/>
    <w:rsid w:val="00D07777"/>
    <w:rsid w:val="00D079B2"/>
    <w:rsid w:val="00D114E9"/>
    <w:rsid w:val="00D17CD8"/>
    <w:rsid w:val="00D2527C"/>
    <w:rsid w:val="00D313B3"/>
    <w:rsid w:val="00D341A3"/>
    <w:rsid w:val="00D35763"/>
    <w:rsid w:val="00D35B8E"/>
    <w:rsid w:val="00D40F07"/>
    <w:rsid w:val="00D429C6"/>
    <w:rsid w:val="00D44801"/>
    <w:rsid w:val="00D47748"/>
    <w:rsid w:val="00D5178F"/>
    <w:rsid w:val="00D518DF"/>
    <w:rsid w:val="00D54CC3"/>
    <w:rsid w:val="00D6041A"/>
    <w:rsid w:val="00D61258"/>
    <w:rsid w:val="00D633EB"/>
    <w:rsid w:val="00D67E10"/>
    <w:rsid w:val="00D736AC"/>
    <w:rsid w:val="00D747AA"/>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B55"/>
    <w:rsid w:val="00E221D3"/>
    <w:rsid w:val="00E24EB4"/>
    <w:rsid w:val="00E27BC0"/>
    <w:rsid w:val="00E30635"/>
    <w:rsid w:val="00E320ED"/>
    <w:rsid w:val="00E33AFB"/>
    <w:rsid w:val="00E34218"/>
    <w:rsid w:val="00E4008C"/>
    <w:rsid w:val="00E4555B"/>
    <w:rsid w:val="00E46282"/>
    <w:rsid w:val="00E5216E"/>
    <w:rsid w:val="00E5529C"/>
    <w:rsid w:val="00E657C6"/>
    <w:rsid w:val="00E75D40"/>
    <w:rsid w:val="00E81965"/>
    <w:rsid w:val="00E81A88"/>
    <w:rsid w:val="00E82344"/>
    <w:rsid w:val="00E84C82"/>
    <w:rsid w:val="00E84D64"/>
    <w:rsid w:val="00E856C8"/>
    <w:rsid w:val="00E87408"/>
    <w:rsid w:val="00E87CF7"/>
    <w:rsid w:val="00E914C4"/>
    <w:rsid w:val="00E934F5"/>
    <w:rsid w:val="00E96961"/>
    <w:rsid w:val="00E976F2"/>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5D60"/>
    <w:rsid w:val="00F07224"/>
    <w:rsid w:val="00F07FD3"/>
    <w:rsid w:val="00F11BB5"/>
    <w:rsid w:val="00F1296C"/>
    <w:rsid w:val="00F1417B"/>
    <w:rsid w:val="00F14A99"/>
    <w:rsid w:val="00F1712D"/>
    <w:rsid w:val="00F17A17"/>
    <w:rsid w:val="00F208A0"/>
    <w:rsid w:val="00F2115E"/>
    <w:rsid w:val="00F27B3D"/>
    <w:rsid w:val="00F30ABD"/>
    <w:rsid w:val="00F34B99"/>
    <w:rsid w:val="00F40B02"/>
    <w:rsid w:val="00F41E81"/>
    <w:rsid w:val="00F42987"/>
    <w:rsid w:val="00F508D5"/>
    <w:rsid w:val="00F51720"/>
    <w:rsid w:val="00F51CF2"/>
    <w:rsid w:val="00F52DAB"/>
    <w:rsid w:val="00F543F0"/>
    <w:rsid w:val="00F55E3E"/>
    <w:rsid w:val="00F57601"/>
    <w:rsid w:val="00F66940"/>
    <w:rsid w:val="00F7028B"/>
    <w:rsid w:val="00F73F99"/>
    <w:rsid w:val="00F75F80"/>
    <w:rsid w:val="00F81D29"/>
    <w:rsid w:val="00F863C8"/>
    <w:rsid w:val="00F90BE5"/>
    <w:rsid w:val="00F91C4D"/>
    <w:rsid w:val="00F92FD9"/>
    <w:rsid w:val="00F97969"/>
    <w:rsid w:val="00FA37B1"/>
    <w:rsid w:val="00FA3E0B"/>
    <w:rsid w:val="00FA5C60"/>
    <w:rsid w:val="00FA5EF7"/>
    <w:rsid w:val="00FA6684"/>
    <w:rsid w:val="00FA731E"/>
    <w:rsid w:val="00FA7BD0"/>
    <w:rsid w:val="00FB0E6D"/>
    <w:rsid w:val="00FB1DCF"/>
    <w:rsid w:val="00FB2B38"/>
    <w:rsid w:val="00FB61CE"/>
    <w:rsid w:val="00FB7A07"/>
    <w:rsid w:val="00FC04CC"/>
    <w:rsid w:val="00FC1C08"/>
    <w:rsid w:val="00FC2066"/>
    <w:rsid w:val="00FC6358"/>
    <w:rsid w:val="00FD1381"/>
    <w:rsid w:val="00FD320D"/>
    <w:rsid w:val="00FE1B98"/>
    <w:rsid w:val="00FE23DE"/>
    <w:rsid w:val="00FF1801"/>
    <w:rsid w:val="00FF6842"/>
    <w:rsid w:val="01B22D50"/>
    <w:rsid w:val="02B029B9"/>
    <w:rsid w:val="02C170CB"/>
    <w:rsid w:val="03395C8A"/>
    <w:rsid w:val="04245B63"/>
    <w:rsid w:val="069E7578"/>
    <w:rsid w:val="08F875BE"/>
    <w:rsid w:val="0A7E11C5"/>
    <w:rsid w:val="0B735376"/>
    <w:rsid w:val="0FCC396C"/>
    <w:rsid w:val="11C866C2"/>
    <w:rsid w:val="12384C98"/>
    <w:rsid w:val="14876173"/>
    <w:rsid w:val="165369D5"/>
    <w:rsid w:val="19E35AF3"/>
    <w:rsid w:val="1B0554C6"/>
    <w:rsid w:val="1C7D796C"/>
    <w:rsid w:val="1EBE533C"/>
    <w:rsid w:val="25907E47"/>
    <w:rsid w:val="2CD56E47"/>
    <w:rsid w:val="301B56BA"/>
    <w:rsid w:val="37B63C9D"/>
    <w:rsid w:val="3A9F2045"/>
    <w:rsid w:val="3D570BB8"/>
    <w:rsid w:val="3E4B14FF"/>
    <w:rsid w:val="45461BF1"/>
    <w:rsid w:val="4C6C1338"/>
    <w:rsid w:val="4C702D1D"/>
    <w:rsid w:val="4E204D00"/>
    <w:rsid w:val="54A55034"/>
    <w:rsid w:val="5A455D52"/>
    <w:rsid w:val="60230BDA"/>
    <w:rsid w:val="633565D6"/>
    <w:rsid w:val="67422965"/>
    <w:rsid w:val="6D657A9C"/>
    <w:rsid w:val="6FB632DE"/>
    <w:rsid w:val="6FDF512A"/>
    <w:rsid w:val="723D1AC4"/>
    <w:rsid w:val="79A343A7"/>
    <w:rsid w:val="7A2065DA"/>
    <w:rsid w:val="7B56651E"/>
    <w:rsid w:val="7BED7856"/>
    <w:rsid w:val="7D0924C1"/>
    <w:rsid w:val="7FE5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autoRedefine/>
    <w:semiHidden/>
    <w:qFormat/>
    <w:uiPriority w:val="0"/>
    <w:pPr>
      <w:snapToGrid w:val="0"/>
      <w:jc w:val="left"/>
    </w:pPr>
  </w:style>
  <w:style w:type="paragraph" w:styleId="15">
    <w:name w:val="Balloon Text"/>
    <w:basedOn w:val="1"/>
    <w:link w:val="138"/>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autoRedefine/>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semiHidden/>
    <w:qFormat/>
    <w:uiPriority w:val="0"/>
    <w:rPr>
      <w:vertAlign w:val="superscript"/>
    </w:rPr>
  </w:style>
  <w:style w:type="character" w:styleId="34">
    <w:name w:val="page number"/>
    <w:qFormat/>
    <w:uiPriority w:val="0"/>
    <w:rPr>
      <w:rFonts w:ascii="Times New Roman" w:hAnsi="Times New Roman" w:eastAsia="宋体"/>
      <w:sz w:val="18"/>
    </w:rPr>
  </w:style>
  <w:style w:type="character" w:styleId="35">
    <w:name w:val="FollowedHyperlink"/>
    <w:qFormat/>
    <w:uiPriority w:val="0"/>
    <w:rPr>
      <w:color w:val="800080"/>
      <w:u w:val="single"/>
    </w:rPr>
  </w:style>
  <w:style w:type="character" w:styleId="36">
    <w:name w:val="Hyperlink"/>
    <w:qFormat/>
    <w:uiPriority w:val="99"/>
    <w:rPr>
      <w:color w:val="0000FF"/>
      <w:spacing w:val="0"/>
      <w:w w:val="100"/>
      <w:szCs w:val="21"/>
      <w:u w:val="single"/>
    </w:rPr>
  </w:style>
  <w:style w:type="character" w:styleId="37">
    <w:name w:val="footnote reference"/>
    <w:semiHidden/>
    <w:qFormat/>
    <w:uiPriority w:val="0"/>
    <w:rPr>
      <w:vertAlign w:val="superscript"/>
    </w:rPr>
  </w:style>
  <w:style w:type="character" w:customStyle="1" w:styleId="38">
    <w:name w:val="段 Char"/>
    <w:link w:val="22"/>
    <w:qFormat/>
    <w:uiPriority w:val="0"/>
    <w:rPr>
      <w:rFonts w:ascii="宋体"/>
      <w:sz w:val="21"/>
      <w:lang w:val="en-US" w:eastAsia="zh-CN" w:bidi="ar-SA"/>
    </w:rPr>
  </w:style>
  <w:style w:type="paragraph" w:customStyle="1" w:styleId="39">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2">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二级条标题"/>
    <w:basedOn w:val="39"/>
    <w:next w:val="22"/>
    <w:qFormat/>
    <w:uiPriority w:val="0"/>
    <w:pPr>
      <w:numPr>
        <w:ilvl w:val="2"/>
      </w:numPr>
      <w:spacing w:before="50" w:after="50"/>
      <w:outlineLvl w:val="3"/>
    </w:pPr>
  </w:style>
  <w:style w:type="paragraph" w:customStyle="1" w:styleId="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5">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6">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7">
    <w:name w:val="目次、标准名称标题"/>
    <w:basedOn w:val="1"/>
    <w:next w:val="22"/>
    <w:link w:val="13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8">
    <w:name w:val="三级条标题"/>
    <w:basedOn w:val="43"/>
    <w:next w:val="22"/>
    <w:link w:val="142"/>
    <w:autoRedefine/>
    <w:qFormat/>
    <w:uiPriority w:val="0"/>
    <w:pPr>
      <w:numPr>
        <w:ilvl w:val="3"/>
      </w:numPr>
      <w:outlineLvl w:val="4"/>
    </w:pPr>
  </w:style>
  <w:style w:type="paragraph" w:customStyle="1" w:styleId="49">
    <w:name w:val="示例"/>
    <w:next w:val="50"/>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1">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2">
    <w:name w:val="四级条标题"/>
    <w:basedOn w:val="48"/>
    <w:next w:val="22"/>
    <w:autoRedefine/>
    <w:qFormat/>
    <w:uiPriority w:val="0"/>
    <w:pPr>
      <w:numPr>
        <w:ilvl w:val="4"/>
      </w:numPr>
      <w:outlineLvl w:val="5"/>
    </w:pPr>
  </w:style>
  <w:style w:type="paragraph" w:customStyle="1" w:styleId="53">
    <w:name w:val="五级条标题"/>
    <w:basedOn w:val="52"/>
    <w:next w:val="22"/>
    <w:autoRedefine/>
    <w:qFormat/>
    <w:uiPriority w:val="0"/>
    <w:pPr>
      <w:numPr>
        <w:ilvl w:val="5"/>
      </w:numPr>
      <w:outlineLvl w:val="6"/>
    </w:pPr>
  </w:style>
  <w:style w:type="paragraph" w:customStyle="1" w:styleId="54">
    <w:name w:val="注："/>
    <w:next w:val="22"/>
    <w:link w:val="141"/>
    <w:autoRedefine/>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5">
    <w:name w:val="注×："/>
    <w:autoRedefine/>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7">
    <w:name w:val="列项◆（三级）"/>
    <w:basedOn w:val="1"/>
    <w:autoRedefine/>
    <w:qFormat/>
    <w:uiPriority w:val="0"/>
    <w:pPr>
      <w:numPr>
        <w:ilvl w:val="2"/>
        <w:numId w:val="3"/>
      </w:numPr>
    </w:pPr>
    <w:rPr>
      <w:rFonts w:ascii="宋体"/>
      <w:szCs w:val="21"/>
    </w:rPr>
  </w:style>
  <w:style w:type="paragraph" w:customStyle="1" w:styleId="58">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59">
    <w:name w:val="示例×："/>
    <w:basedOn w:val="42"/>
    <w:qFormat/>
    <w:uiPriority w:val="0"/>
    <w:pPr>
      <w:numPr>
        <w:numId w:val="8"/>
      </w:numPr>
      <w:spacing w:beforeLines="0" w:afterLines="0"/>
      <w:outlineLvl w:val="9"/>
    </w:pPr>
    <w:rPr>
      <w:rFonts w:ascii="宋体" w:eastAsia="宋体"/>
      <w:sz w:val="18"/>
      <w:szCs w:val="18"/>
    </w:rPr>
  </w:style>
  <w:style w:type="paragraph" w:customStyle="1" w:styleId="60">
    <w:name w:val="二级无"/>
    <w:basedOn w:val="43"/>
    <w:qFormat/>
    <w:uiPriority w:val="0"/>
    <w:pPr>
      <w:spacing w:beforeLines="0" w:afterLines="0"/>
    </w:pPr>
    <w:rPr>
      <w:rFonts w:ascii="宋体" w:eastAsia="宋体"/>
    </w:rPr>
  </w:style>
  <w:style w:type="paragraph" w:customStyle="1" w:styleId="61">
    <w:name w:val="注：（正文）"/>
    <w:basedOn w:val="54"/>
    <w:next w:val="22"/>
    <w:autoRedefine/>
    <w:qFormat/>
    <w:uiPriority w:val="0"/>
    <w:pPr>
      <w:numPr>
        <w:numId w:val="9"/>
      </w:numPr>
      <w:ind w:left="726" w:hanging="363"/>
    </w:pPr>
  </w:style>
  <w:style w:type="paragraph" w:customStyle="1" w:styleId="62">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6">
    <w:name w:val="标准书眉_偶数页"/>
    <w:basedOn w:val="41"/>
    <w:next w:val="1"/>
    <w:qFormat/>
    <w:uiPriority w:val="0"/>
    <w:pPr>
      <w:jc w:val="left"/>
    </w:pPr>
  </w:style>
  <w:style w:type="paragraph" w:customStyle="1" w:styleId="67">
    <w:name w:val="标准书眉一"/>
    <w:qFormat/>
    <w:uiPriority w:val="0"/>
    <w:pPr>
      <w:jc w:val="both"/>
    </w:pPr>
    <w:rPr>
      <w:rFonts w:ascii="Times New Roman" w:hAnsi="Times New Roman" w:eastAsia="宋体" w:cs="Times New Roman"/>
      <w:lang w:val="en-US" w:eastAsia="zh-CN" w:bidi="ar-SA"/>
    </w:rPr>
  </w:style>
  <w:style w:type="paragraph" w:customStyle="1" w:styleId="68">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0">
    <w:name w:val="发布"/>
    <w:qFormat/>
    <w:uiPriority w:val="0"/>
    <w:rPr>
      <w:rFonts w:ascii="黑体" w:eastAsia="黑体"/>
      <w:spacing w:val="85"/>
      <w:w w:val="100"/>
      <w:position w:val="3"/>
      <w:sz w:val="28"/>
      <w:szCs w:val="28"/>
    </w:rPr>
  </w:style>
  <w:style w:type="paragraph" w:customStyle="1" w:styleId="71">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
    <w:basedOn w:val="75"/>
    <w:qFormat/>
    <w:uiPriority w:val="0"/>
    <w:pPr>
      <w:framePr w:wrap="around"/>
      <w:spacing w:before="370" w:line="400" w:lineRule="exact"/>
    </w:pPr>
    <w:rPr>
      <w:rFonts w:ascii="Times New Roman"/>
      <w:sz w:val="28"/>
      <w:szCs w:val="28"/>
    </w:rPr>
  </w:style>
  <w:style w:type="paragraph" w:customStyle="1" w:styleId="77">
    <w:name w:val="封面一致性程度标识"/>
    <w:basedOn w:val="76"/>
    <w:qFormat/>
    <w:uiPriority w:val="0"/>
    <w:pPr>
      <w:framePr w:wrap="around"/>
      <w:spacing w:before="440"/>
    </w:pPr>
    <w:rPr>
      <w:rFonts w:ascii="宋体" w:eastAsia="宋体"/>
    </w:rPr>
  </w:style>
  <w:style w:type="paragraph" w:customStyle="1" w:styleId="78">
    <w:name w:val="封面标准文稿类别"/>
    <w:basedOn w:val="77"/>
    <w:qFormat/>
    <w:uiPriority w:val="0"/>
    <w:pPr>
      <w:framePr w:wrap="around"/>
      <w:spacing w:after="160" w:line="240" w:lineRule="auto"/>
    </w:pPr>
    <w:rPr>
      <w:sz w:val="24"/>
    </w:rPr>
  </w:style>
  <w:style w:type="paragraph" w:customStyle="1" w:styleId="79">
    <w:name w:val="封面标准文稿编辑信息"/>
    <w:basedOn w:val="78"/>
    <w:qFormat/>
    <w:uiPriority w:val="0"/>
    <w:pPr>
      <w:framePr w:wrap="around"/>
      <w:spacing w:before="180" w:line="180" w:lineRule="exact"/>
    </w:pPr>
    <w:rPr>
      <w:sz w:val="21"/>
    </w:rPr>
  </w:style>
  <w:style w:type="paragraph" w:customStyle="1" w:styleId="80">
    <w:name w:val="封面正文"/>
    <w:qFormat/>
    <w:uiPriority w:val="0"/>
    <w:pPr>
      <w:jc w:val="both"/>
    </w:pPr>
    <w:rPr>
      <w:rFonts w:ascii="Times New Roman" w:hAnsi="Times New Roman" w:eastAsia="宋体" w:cs="Times New Roman"/>
      <w:lang w:val="en-US" w:eastAsia="zh-CN" w:bidi="ar-SA"/>
    </w:rPr>
  </w:style>
  <w:style w:type="paragraph" w:customStyle="1" w:styleId="81">
    <w:name w:val="附录标识"/>
    <w:basedOn w:val="1"/>
    <w:next w:val="22"/>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2">
    <w:name w:val="附录标题"/>
    <w:basedOn w:val="22"/>
    <w:next w:val="22"/>
    <w:qFormat/>
    <w:uiPriority w:val="0"/>
    <w:pPr>
      <w:ind w:firstLine="0" w:firstLineChars="0"/>
      <w:jc w:val="center"/>
    </w:pPr>
    <w:rPr>
      <w:rFonts w:ascii="黑体" w:eastAsia="黑体"/>
    </w:rPr>
  </w:style>
  <w:style w:type="paragraph" w:customStyle="1" w:styleId="83">
    <w:name w:val="附录表标号"/>
    <w:basedOn w:val="1"/>
    <w:next w:val="22"/>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4">
    <w:name w:val="附录表标题"/>
    <w:basedOn w:val="1"/>
    <w:next w:val="22"/>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5">
    <w:name w:val="附录二级条标题"/>
    <w:basedOn w:val="1"/>
    <w:next w:val="22"/>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6">
    <w:name w:val="附录二级无"/>
    <w:basedOn w:val="85"/>
    <w:qFormat/>
    <w:uiPriority w:val="0"/>
    <w:pPr>
      <w:tabs>
        <w:tab w:val="clear" w:pos="360"/>
      </w:tabs>
      <w:spacing w:beforeLines="0" w:afterLines="0"/>
    </w:pPr>
    <w:rPr>
      <w:rFonts w:ascii="宋体" w:eastAsia="宋体"/>
      <w:szCs w:val="21"/>
    </w:rPr>
  </w:style>
  <w:style w:type="paragraph" w:customStyle="1" w:styleId="87">
    <w:name w:val="附录公式"/>
    <w:basedOn w:val="22"/>
    <w:next w:val="22"/>
    <w:link w:val="88"/>
    <w:qFormat/>
    <w:uiPriority w:val="0"/>
  </w:style>
  <w:style w:type="character" w:customStyle="1" w:styleId="88">
    <w:name w:val="附录公式 Char"/>
    <w:basedOn w:val="38"/>
    <w:link w:val="87"/>
    <w:qFormat/>
    <w:uiPriority w:val="0"/>
    <w:rPr>
      <w:rFonts w:ascii="宋体"/>
      <w:sz w:val="21"/>
      <w:lang w:val="en-US" w:eastAsia="zh-CN" w:bidi="ar-SA"/>
    </w:rPr>
  </w:style>
  <w:style w:type="paragraph" w:customStyle="1" w:styleId="89">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5"/>
    <w:next w:val="22"/>
    <w:qFormat/>
    <w:uiPriority w:val="0"/>
    <w:pPr>
      <w:numPr>
        <w:ilvl w:val="4"/>
      </w:numPr>
      <w:outlineLvl w:val="4"/>
    </w:pPr>
  </w:style>
  <w:style w:type="paragraph" w:customStyle="1" w:styleId="91">
    <w:name w:val="附录三级无"/>
    <w:basedOn w:val="90"/>
    <w:qFormat/>
    <w:uiPriority w:val="0"/>
    <w:pPr>
      <w:tabs>
        <w:tab w:val="clear" w:pos="360"/>
      </w:tabs>
      <w:spacing w:beforeLines="0" w:afterLines="0"/>
    </w:pPr>
    <w:rPr>
      <w:rFonts w:ascii="宋体" w:eastAsia="宋体"/>
      <w:szCs w:val="21"/>
    </w:rPr>
  </w:style>
  <w:style w:type="paragraph" w:customStyle="1" w:styleId="9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3">
    <w:name w:val="附录四级条标题"/>
    <w:basedOn w:val="90"/>
    <w:next w:val="22"/>
    <w:qFormat/>
    <w:uiPriority w:val="0"/>
    <w:pPr>
      <w:numPr>
        <w:ilvl w:val="5"/>
      </w:numPr>
      <w:outlineLvl w:val="5"/>
    </w:pPr>
  </w:style>
  <w:style w:type="paragraph" w:customStyle="1" w:styleId="94">
    <w:name w:val="附录四级无"/>
    <w:basedOn w:val="93"/>
    <w:qFormat/>
    <w:uiPriority w:val="0"/>
    <w:pPr>
      <w:tabs>
        <w:tab w:val="clear" w:pos="360"/>
      </w:tabs>
      <w:spacing w:beforeLines="0" w:afterLines="0"/>
    </w:pPr>
    <w:rPr>
      <w:rFonts w:ascii="宋体" w:eastAsia="宋体"/>
      <w:szCs w:val="21"/>
    </w:rPr>
  </w:style>
  <w:style w:type="paragraph" w:customStyle="1" w:styleId="95">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6">
    <w:name w:val="附录图标题"/>
    <w:basedOn w:val="1"/>
    <w:next w:val="22"/>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7">
    <w:name w:val="附录五级条标题"/>
    <w:basedOn w:val="93"/>
    <w:next w:val="22"/>
    <w:qFormat/>
    <w:uiPriority w:val="0"/>
    <w:pPr>
      <w:numPr>
        <w:ilvl w:val="6"/>
      </w:numPr>
      <w:outlineLvl w:val="6"/>
    </w:pPr>
  </w:style>
  <w:style w:type="paragraph" w:customStyle="1" w:styleId="98">
    <w:name w:val="附录五级无"/>
    <w:basedOn w:val="97"/>
    <w:qFormat/>
    <w:uiPriority w:val="0"/>
    <w:pPr>
      <w:tabs>
        <w:tab w:val="clear" w:pos="360"/>
      </w:tabs>
      <w:spacing w:beforeLines="0" w:afterLines="0"/>
    </w:pPr>
    <w:rPr>
      <w:rFonts w:ascii="宋体" w:eastAsia="宋体"/>
      <w:szCs w:val="21"/>
    </w:rPr>
  </w:style>
  <w:style w:type="paragraph" w:customStyle="1" w:styleId="99">
    <w:name w:val="附录章标题"/>
    <w:next w:val="22"/>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2"/>
    <w:qFormat/>
    <w:uiPriority w:val="0"/>
    <w:pPr>
      <w:numPr>
        <w:ilvl w:val="2"/>
      </w:numPr>
      <w:autoSpaceDN w:val="0"/>
      <w:spacing w:beforeLines="50" w:afterLines="50"/>
      <w:outlineLvl w:val="2"/>
    </w:pPr>
  </w:style>
  <w:style w:type="paragraph" w:customStyle="1" w:styleId="101">
    <w:name w:val="附录一级无"/>
    <w:basedOn w:val="100"/>
    <w:qFormat/>
    <w:uiPriority w:val="0"/>
    <w:pPr>
      <w:tabs>
        <w:tab w:val="clear" w:pos="360"/>
      </w:tabs>
      <w:spacing w:beforeLines="0" w:afterLines="0"/>
    </w:pPr>
    <w:rPr>
      <w:rFonts w:ascii="宋体" w:eastAsia="宋体"/>
      <w:szCs w:val="21"/>
    </w:rPr>
  </w:style>
  <w:style w:type="paragraph" w:customStyle="1" w:styleId="102">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3"/>
    <w:qFormat/>
    <w:uiPriority w:val="0"/>
    <w:pPr>
      <w:framePr w:w="6101" w:wrap="around" w:vAnchor="page" w:hAnchor="page" w:x="4673" w:y="942"/>
    </w:pPr>
    <w:rPr>
      <w:w w:val="130"/>
    </w:rPr>
  </w:style>
  <w:style w:type="paragraph" w:customStyle="1" w:styleId="10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71"/>
    <w:qFormat/>
    <w:uiPriority w:val="0"/>
    <w:pPr>
      <w:framePr w:wrap="around" w:y="15310"/>
      <w:spacing w:line="0" w:lineRule="atLeast"/>
    </w:pPr>
    <w:rPr>
      <w:rFonts w:ascii="黑体" w:eastAsia="黑体"/>
      <w:b w:val="0"/>
    </w:rPr>
  </w:style>
  <w:style w:type="paragraph" w:customStyle="1" w:styleId="109">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48"/>
    <w:qFormat/>
    <w:uiPriority w:val="0"/>
    <w:pPr>
      <w:spacing w:beforeLines="0" w:afterLines="0"/>
    </w:pPr>
    <w:rPr>
      <w:rFonts w:ascii="宋体" w:eastAsia="宋体"/>
    </w:rPr>
  </w:style>
  <w:style w:type="paragraph" w:customStyle="1" w:styleId="111">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2">
    <w:name w:val="示例后文字"/>
    <w:basedOn w:val="22"/>
    <w:next w:val="22"/>
    <w:qFormat/>
    <w:uiPriority w:val="0"/>
    <w:pPr>
      <w:ind w:firstLine="360"/>
    </w:pPr>
    <w:rPr>
      <w:sz w:val="18"/>
    </w:rPr>
  </w:style>
  <w:style w:type="paragraph" w:customStyle="1" w:styleId="113">
    <w:name w:val="首示例"/>
    <w:next w:val="22"/>
    <w:link w:val="114"/>
    <w:qFormat/>
    <w:uiPriority w:val="0"/>
    <w:pPr>
      <w:tabs>
        <w:tab w:val="left" w:pos="360"/>
      </w:tabs>
    </w:pPr>
    <w:rPr>
      <w:rFonts w:ascii="宋体" w:hAnsi="宋体" w:eastAsia="宋体" w:cs="Times New Roman"/>
      <w:kern w:val="2"/>
      <w:sz w:val="18"/>
      <w:szCs w:val="18"/>
      <w:lang w:val="en-US" w:eastAsia="zh-CN" w:bidi="ar-SA"/>
    </w:rPr>
  </w:style>
  <w:style w:type="character" w:customStyle="1" w:styleId="114">
    <w:name w:val="首示例 Char"/>
    <w:link w:val="113"/>
    <w:qFormat/>
    <w:uiPriority w:val="0"/>
    <w:rPr>
      <w:rFonts w:ascii="宋体" w:hAnsi="宋体"/>
      <w:kern w:val="2"/>
      <w:sz w:val="18"/>
      <w:szCs w:val="18"/>
    </w:rPr>
  </w:style>
  <w:style w:type="paragraph" w:customStyle="1" w:styleId="115">
    <w:name w:val="四级无"/>
    <w:basedOn w:val="52"/>
    <w:qFormat/>
    <w:uiPriority w:val="0"/>
    <w:pPr>
      <w:spacing w:beforeLines="0" w:afterLines="0"/>
    </w:pPr>
    <w:rPr>
      <w:rFonts w:ascii="宋体" w:eastAsia="宋体"/>
    </w:rPr>
  </w:style>
  <w:style w:type="paragraph" w:customStyle="1" w:styleId="116">
    <w:name w:val="条文脚注"/>
    <w:basedOn w:val="23"/>
    <w:qFormat/>
    <w:uiPriority w:val="0"/>
    <w:pPr>
      <w:numPr>
        <w:numId w:val="0"/>
      </w:numPr>
      <w:jc w:val="both"/>
    </w:pPr>
  </w:style>
  <w:style w:type="paragraph" w:customStyle="1" w:styleId="117">
    <w:name w:val="图标脚注说明"/>
    <w:basedOn w:val="22"/>
    <w:qFormat/>
    <w:uiPriority w:val="0"/>
    <w:pPr>
      <w:ind w:left="840" w:hanging="420" w:firstLineChars="0"/>
    </w:pPr>
    <w:rPr>
      <w:sz w:val="18"/>
      <w:szCs w:val="18"/>
    </w:rPr>
  </w:style>
  <w:style w:type="paragraph" w:customStyle="1" w:styleId="118">
    <w:name w:val="图表脚注说明"/>
    <w:basedOn w:val="1"/>
    <w:qFormat/>
    <w:uiPriority w:val="0"/>
    <w:pPr>
      <w:numPr>
        <w:ilvl w:val="0"/>
        <w:numId w:val="15"/>
      </w:numPr>
    </w:pPr>
    <w:rPr>
      <w:rFonts w:ascii="宋体"/>
      <w:sz w:val="18"/>
      <w:szCs w:val="18"/>
    </w:rPr>
  </w:style>
  <w:style w:type="paragraph" w:customStyle="1" w:styleId="119">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1">
    <w:name w:val="五级无"/>
    <w:basedOn w:val="53"/>
    <w:qFormat/>
    <w:uiPriority w:val="0"/>
    <w:pPr>
      <w:spacing w:beforeLines="0" w:afterLines="0"/>
    </w:pPr>
    <w:rPr>
      <w:rFonts w:ascii="宋体" w:eastAsia="宋体"/>
    </w:rPr>
  </w:style>
  <w:style w:type="paragraph" w:customStyle="1" w:styleId="122">
    <w:name w:val="一级无"/>
    <w:basedOn w:val="39"/>
    <w:qFormat/>
    <w:uiPriority w:val="0"/>
    <w:pPr>
      <w:spacing w:beforeLines="0" w:afterLines="0"/>
    </w:pPr>
    <w:rPr>
      <w:rFonts w:ascii="宋体" w:eastAsia="宋体"/>
    </w:rPr>
  </w:style>
  <w:style w:type="paragraph" w:customStyle="1" w:styleId="123">
    <w:name w:val="正文表标题"/>
    <w:next w:val="22"/>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4">
    <w:name w:val="正文公式编号制表符"/>
    <w:basedOn w:val="22"/>
    <w:next w:val="22"/>
    <w:qFormat/>
    <w:uiPriority w:val="0"/>
    <w:pPr>
      <w:ind w:firstLine="0" w:firstLineChars="0"/>
    </w:pPr>
  </w:style>
  <w:style w:type="paragraph" w:customStyle="1" w:styleId="125">
    <w:name w:val="正文图标题"/>
    <w:next w:val="2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6">
    <w:name w:val="终结线"/>
    <w:basedOn w:val="1"/>
    <w:qFormat/>
    <w:uiPriority w:val="0"/>
    <w:pPr>
      <w:framePr w:hSpace="181" w:vSpace="181" w:wrap="around" w:vAnchor="text" w:hAnchor="margin" w:xAlign="center" w:y="285"/>
    </w:pPr>
  </w:style>
  <w:style w:type="paragraph" w:customStyle="1" w:styleId="127">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8">
    <w:name w:val="其他实施日期"/>
    <w:basedOn w:val="111"/>
    <w:qFormat/>
    <w:uiPriority w:val="0"/>
    <w:pPr>
      <w:framePr w:wrap="around"/>
    </w:pPr>
  </w:style>
  <w:style w:type="paragraph" w:customStyle="1" w:styleId="129">
    <w:name w:val="封面标准名称2"/>
    <w:basedOn w:val="75"/>
    <w:qFormat/>
    <w:uiPriority w:val="0"/>
    <w:pPr>
      <w:framePr w:wrap="around" w:y="4469"/>
      <w:spacing w:beforeLines="630"/>
    </w:pPr>
  </w:style>
  <w:style w:type="paragraph" w:customStyle="1" w:styleId="130">
    <w:name w:val="封面标准英文名称2"/>
    <w:basedOn w:val="76"/>
    <w:qFormat/>
    <w:uiPriority w:val="0"/>
    <w:pPr>
      <w:framePr w:wrap="around" w:y="4469"/>
    </w:pPr>
  </w:style>
  <w:style w:type="paragraph" w:customStyle="1" w:styleId="131">
    <w:name w:val="封面一致性程度标识2"/>
    <w:basedOn w:val="77"/>
    <w:qFormat/>
    <w:uiPriority w:val="0"/>
    <w:pPr>
      <w:framePr w:wrap="around" w:y="4469"/>
    </w:pPr>
  </w:style>
  <w:style w:type="paragraph" w:customStyle="1" w:styleId="132">
    <w:name w:val="封面标准文稿类别2"/>
    <w:basedOn w:val="78"/>
    <w:qFormat/>
    <w:uiPriority w:val="0"/>
    <w:pPr>
      <w:framePr w:wrap="around" w:y="4469"/>
    </w:pPr>
  </w:style>
  <w:style w:type="paragraph" w:customStyle="1" w:styleId="133">
    <w:name w:val="封面标准文稿编辑信息2"/>
    <w:basedOn w:val="79"/>
    <w:qFormat/>
    <w:uiPriority w:val="0"/>
    <w:pPr>
      <w:framePr w:wrap="around" w:y="4469"/>
    </w:pPr>
  </w:style>
  <w:style w:type="paragraph" w:customStyle="1" w:styleId="134">
    <w:name w:val="标准名称"/>
    <w:basedOn w:val="47"/>
    <w:link w:val="137"/>
    <w:qFormat/>
    <w:uiPriority w:val="0"/>
  </w:style>
  <w:style w:type="character" w:customStyle="1" w:styleId="135">
    <w:name w:val="占位符文本1"/>
    <w:basedOn w:val="32"/>
    <w:semiHidden/>
    <w:qFormat/>
    <w:uiPriority w:val="99"/>
    <w:rPr>
      <w:color w:val="808080"/>
    </w:rPr>
  </w:style>
  <w:style w:type="character" w:customStyle="1" w:styleId="136">
    <w:name w:val="目次、标准名称标题 Char"/>
    <w:basedOn w:val="32"/>
    <w:link w:val="47"/>
    <w:qFormat/>
    <w:uiPriority w:val="0"/>
    <w:rPr>
      <w:rFonts w:ascii="黑体" w:eastAsia="黑体"/>
      <w:sz w:val="32"/>
      <w:shd w:val="clear" w:color="FFFFFF" w:fill="FFFFFF"/>
    </w:rPr>
  </w:style>
  <w:style w:type="character" w:customStyle="1" w:styleId="137">
    <w:name w:val="标准名称 Char"/>
    <w:basedOn w:val="136"/>
    <w:link w:val="134"/>
    <w:qFormat/>
    <w:uiPriority w:val="0"/>
    <w:rPr>
      <w:rFonts w:ascii="黑体" w:eastAsia="黑体"/>
      <w:sz w:val="32"/>
      <w:shd w:val="clear" w:color="FFFFFF" w:fill="FFFFFF"/>
    </w:rPr>
  </w:style>
  <w:style w:type="character" w:customStyle="1" w:styleId="138">
    <w:name w:val="批注框文本 字符"/>
    <w:basedOn w:val="32"/>
    <w:link w:val="15"/>
    <w:qFormat/>
    <w:uiPriority w:val="0"/>
    <w:rPr>
      <w:kern w:val="2"/>
      <w:sz w:val="18"/>
      <w:szCs w:val="18"/>
    </w:rPr>
  </w:style>
  <w:style w:type="paragraph" w:customStyle="1" w:styleId="139">
    <w:name w:val="Table Text"/>
    <w:basedOn w:val="1"/>
    <w:semiHidden/>
    <w:qFormat/>
    <w:uiPriority w:val="0"/>
    <w:rPr>
      <w:rFonts w:ascii="宋体" w:hAnsi="宋体" w:cs="宋体"/>
      <w:sz w:val="18"/>
      <w:szCs w:val="18"/>
      <w:lang w:eastAsia="en-US"/>
    </w:rPr>
  </w:style>
  <w:style w:type="table" w:customStyle="1" w:styleId="140">
    <w:name w:val="Table Normal"/>
    <w:semiHidden/>
    <w:unhideWhenUsed/>
    <w:qFormat/>
    <w:uiPriority w:val="0"/>
    <w:tblPr>
      <w:tblCellMar>
        <w:top w:w="0" w:type="dxa"/>
        <w:left w:w="0" w:type="dxa"/>
        <w:bottom w:w="0" w:type="dxa"/>
        <w:right w:w="0" w:type="dxa"/>
      </w:tblCellMar>
    </w:tblPr>
  </w:style>
  <w:style w:type="character" w:customStyle="1" w:styleId="141">
    <w:name w:val="注： Char"/>
    <w:link w:val="54"/>
    <w:qFormat/>
    <w:uiPriority w:val="0"/>
    <w:rPr>
      <w:rFonts w:ascii="宋体" w:hAnsi="Times New Roman" w:eastAsia="宋体" w:cs="Times New Roman"/>
      <w:sz w:val="18"/>
      <w:szCs w:val="18"/>
      <w:lang w:val="en-US" w:eastAsia="zh-CN" w:bidi="ar-SA"/>
    </w:rPr>
  </w:style>
  <w:style w:type="character" w:customStyle="1" w:styleId="142">
    <w:name w:val="三级条标题 Char"/>
    <w:link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F113A"/>
    <w:rsid w:val="0002647A"/>
    <w:rsid w:val="0002653F"/>
    <w:rsid w:val="00080DE3"/>
    <w:rsid w:val="00087E40"/>
    <w:rsid w:val="000954CA"/>
    <w:rsid w:val="000B56BB"/>
    <w:rsid w:val="000C73CF"/>
    <w:rsid w:val="00101FD0"/>
    <w:rsid w:val="001132F9"/>
    <w:rsid w:val="00114ABC"/>
    <w:rsid w:val="001C16E0"/>
    <w:rsid w:val="002068C7"/>
    <w:rsid w:val="00251126"/>
    <w:rsid w:val="00287713"/>
    <w:rsid w:val="00323E80"/>
    <w:rsid w:val="003344F3"/>
    <w:rsid w:val="003372E5"/>
    <w:rsid w:val="003750AF"/>
    <w:rsid w:val="00430F92"/>
    <w:rsid w:val="004F113A"/>
    <w:rsid w:val="004F19F0"/>
    <w:rsid w:val="004F1EC5"/>
    <w:rsid w:val="00515A81"/>
    <w:rsid w:val="005335DD"/>
    <w:rsid w:val="00595E09"/>
    <w:rsid w:val="00674FBA"/>
    <w:rsid w:val="006D02E4"/>
    <w:rsid w:val="007216E9"/>
    <w:rsid w:val="007C6ACB"/>
    <w:rsid w:val="007E2797"/>
    <w:rsid w:val="00800293"/>
    <w:rsid w:val="00820E7E"/>
    <w:rsid w:val="00874996"/>
    <w:rsid w:val="008D1688"/>
    <w:rsid w:val="008E024D"/>
    <w:rsid w:val="008F0268"/>
    <w:rsid w:val="00902EF8"/>
    <w:rsid w:val="00982DAC"/>
    <w:rsid w:val="009B16B1"/>
    <w:rsid w:val="009C69C5"/>
    <w:rsid w:val="00A423E1"/>
    <w:rsid w:val="00A94E45"/>
    <w:rsid w:val="00AC3109"/>
    <w:rsid w:val="00AD6808"/>
    <w:rsid w:val="00AD7111"/>
    <w:rsid w:val="00B00C16"/>
    <w:rsid w:val="00B717AC"/>
    <w:rsid w:val="00BC67AA"/>
    <w:rsid w:val="00C875D2"/>
    <w:rsid w:val="00CB0B2B"/>
    <w:rsid w:val="00D4454B"/>
    <w:rsid w:val="00D65DD7"/>
    <w:rsid w:val="00D96A6B"/>
    <w:rsid w:val="00DA4409"/>
    <w:rsid w:val="00DB5033"/>
    <w:rsid w:val="00E95A08"/>
    <w:rsid w:val="00EA15BD"/>
    <w:rsid w:val="00EA32AC"/>
    <w:rsid w:val="00F93653"/>
    <w:rsid w:val="00FF0B73"/>
    <w:rsid w:val="00FF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1112"/>
    <w:autoRedefine/>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12</Pages>
  <Words>4892</Words>
  <Characters>5238</Characters>
  <Lines>47</Lines>
  <Paragraphs>13</Paragraphs>
  <TotalTime>7</TotalTime>
  <ScaleCrop>false</ScaleCrop>
  <LinksUpToDate>false</LinksUpToDate>
  <CharactersWithSpaces>5447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2019-08-28T09:51:00Z</dcterms:created>
  <dc:creator>CNIS</dc:creator>
  <cp:lastModifiedBy>邹皓</cp:lastModifiedBy>
  <dcterms:modified xsi:type="dcterms:W3CDTF">2025-05-07T06:06:07Z</dcterms:modified>
  <dc:title>标准名称</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87D14501E07740FE8661190D5E5E6A80_13</vt:lpwstr>
  </property>
</Properties>
</file>